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1517650</wp:posOffset>
            </wp:positionH>
            <wp:positionV relativeFrom="page">
              <wp:posOffset>1250950</wp:posOffset>
            </wp:positionV>
            <wp:extent cx="4324985" cy="524510"/>
            <wp:effectExtent l="0" t="0" r="1841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52" w:lineRule="exact"/>
        <w:rPr>
          <w:color w:val="auto"/>
          <w:sz w:val="24"/>
          <w:szCs w:val="24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中大研字〔</w:t>
      </w:r>
      <w:r>
        <w:rPr>
          <w:rFonts w:ascii="Times" w:hAnsi="Times" w:eastAsia="Times" w:cs="Times"/>
          <w:color w:val="auto"/>
          <w:sz w:val="32"/>
          <w:szCs w:val="32"/>
        </w:rPr>
        <w:t>2018</w:t>
      </w:r>
      <w:r>
        <w:rPr>
          <w:rFonts w:ascii="宋体" w:hAnsi="宋体" w:eastAsia="宋体" w:cs="宋体"/>
          <w:color w:val="auto"/>
          <w:sz w:val="32"/>
          <w:szCs w:val="32"/>
        </w:rPr>
        <w:t>〕</w:t>
      </w:r>
      <w:r>
        <w:rPr>
          <w:rFonts w:ascii="Times" w:hAnsi="Times" w:eastAsia="Times" w:cs="Times"/>
          <w:color w:val="auto"/>
          <w:sz w:val="32"/>
          <w:szCs w:val="32"/>
        </w:rPr>
        <w:t xml:space="preserve">22 </w:t>
      </w:r>
      <w:r>
        <w:rPr>
          <w:rFonts w:ascii="宋体" w:hAnsi="宋体" w:eastAsia="宋体" w:cs="宋体"/>
          <w:color w:val="auto"/>
          <w:sz w:val="32"/>
          <w:szCs w:val="32"/>
        </w:rPr>
        <w:t>号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240030</wp:posOffset>
                </wp:positionV>
                <wp:extent cx="525843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8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18.55pt;margin-top:18.9pt;height:0pt;width:414.05pt;z-index:-251658240;mso-width-relative:page;mso-height-relative:page;" fillcolor="#FFFFFF" filled="t" stroked="t" coordsize="21600,21600" o:allowincell="f" o:gfxdata="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eG/2KtgAAAAIAQAADwAAAAAAAAABACAAAAAi&#10;AAAAZHJzL2Rvd25yZXYueG1sUEsBAhQAFAAAAAgAh07iQK99z6CYAQAATAMAAA4AAAAAAAAAAQAg&#10;AAAAJwEAAGRycy9lMm9Eb2MueG1sUEsFBgAAAAAGAAYAWQEAADEFAAAAAA==&#10;">
                <v:fill on="t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60" w:lineRule="exact"/>
        <w:rPr>
          <w:color w:val="auto"/>
          <w:sz w:val="24"/>
          <w:szCs w:val="24"/>
        </w:rPr>
      </w:pPr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关于印发《中南大学研究生奖助学金</w:t>
      </w:r>
    </w:p>
    <w:p>
      <w:pPr>
        <w:spacing w:after="0" w:line="137" w:lineRule="exact"/>
        <w:rPr>
          <w:color w:val="auto"/>
          <w:sz w:val="24"/>
          <w:szCs w:val="24"/>
        </w:rPr>
      </w:pPr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管理办法》的通知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39" w:lineRule="exact"/>
        <w:rPr>
          <w:color w:val="auto"/>
          <w:sz w:val="24"/>
          <w:szCs w:val="24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各二级单位</w:t>
      </w:r>
      <w:r>
        <w:rPr>
          <w:rFonts w:ascii="Times" w:hAnsi="Times" w:eastAsia="Times" w:cs="Times"/>
          <w:color w:val="auto"/>
          <w:sz w:val="32"/>
          <w:szCs w:val="32"/>
        </w:rPr>
        <w:t>:</w:t>
      </w:r>
    </w:p>
    <w:p>
      <w:pPr>
        <w:spacing w:after="0" w:line="204" w:lineRule="exact"/>
        <w:rPr>
          <w:color w:val="auto"/>
          <w:sz w:val="24"/>
          <w:szCs w:val="24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《中南大学研究生奖助学金管理办法》已经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2017 </w:t>
      </w:r>
      <w:r>
        <w:rPr>
          <w:rFonts w:ascii="宋体" w:hAnsi="宋体" w:eastAsia="宋体" w:cs="宋体"/>
          <w:color w:val="auto"/>
          <w:sz w:val="31"/>
          <w:szCs w:val="31"/>
        </w:rPr>
        <w:t>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12 </w:t>
      </w:r>
      <w:r>
        <w:rPr>
          <w:rFonts w:ascii="宋体" w:hAnsi="宋体" w:eastAsia="宋体" w:cs="宋体"/>
          <w:color w:val="auto"/>
          <w:sz w:val="31"/>
          <w:szCs w:val="31"/>
        </w:rPr>
        <w:t>月</w:t>
      </w:r>
    </w:p>
    <w:p>
      <w:pPr>
        <w:spacing w:after="0" w:line="146" w:lineRule="exact"/>
        <w:rPr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600"/>
        </w:tabs>
        <w:spacing w:after="0" w:line="378" w:lineRule="exact"/>
        <w:ind w:left="600" w:hanging="396"/>
        <w:rPr>
          <w:rFonts w:ascii="Times" w:hAnsi="Times" w:eastAsia="Times" w:cs="Times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1"/>
          <w:szCs w:val="31"/>
        </w:rPr>
        <w:t>日第三十五次校务会讨论通过，现印发给你们，请认真遵照</w:t>
      </w:r>
    </w:p>
    <w:p>
      <w:pPr>
        <w:spacing w:after="0" w:line="213" w:lineRule="exact"/>
        <w:rPr>
          <w:rFonts w:ascii="Times" w:hAnsi="Times" w:eastAsia="Times" w:cs="Times"/>
          <w:color w:val="auto"/>
          <w:sz w:val="31"/>
          <w:szCs w:val="31"/>
        </w:rPr>
      </w:pPr>
    </w:p>
    <w:p>
      <w:pPr>
        <w:spacing w:after="0" w:line="366" w:lineRule="exact"/>
        <w:ind w:left="200"/>
        <w:rPr>
          <w:rFonts w:ascii="Times" w:hAnsi="Times" w:eastAsia="Times" w:cs="Times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2"/>
          <w:szCs w:val="32"/>
        </w:rPr>
        <w:t>执行。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65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59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中南大学</w:t>
      </w:r>
    </w:p>
    <w:p>
      <w:pPr>
        <w:spacing w:after="0" w:line="209" w:lineRule="exact"/>
        <w:rPr>
          <w:color w:val="auto"/>
          <w:sz w:val="24"/>
          <w:szCs w:val="24"/>
        </w:rPr>
      </w:pPr>
    </w:p>
    <w:p>
      <w:pPr>
        <w:spacing w:after="0" w:line="390" w:lineRule="exact"/>
        <w:ind w:left="548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2018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15 </w:t>
      </w:r>
      <w:r>
        <w:rPr>
          <w:rFonts w:ascii="宋体" w:hAnsi="宋体" w:eastAsia="宋体" w:cs="宋体"/>
          <w:color w:val="auto"/>
          <w:sz w:val="32"/>
          <w:szCs w:val="32"/>
        </w:rPr>
        <w:t>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69" w:lineRule="exact"/>
        <w:rPr>
          <w:color w:val="auto"/>
          <w:sz w:val="24"/>
          <w:szCs w:val="24"/>
        </w:rPr>
      </w:pPr>
    </w:p>
    <w:p>
      <w:pPr>
        <w:spacing w:after="0"/>
        <w:ind w:right="200"/>
        <w:jc w:val="righ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―1―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03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中南大学研究生奖助学金管理办法</w:t>
      </w:r>
    </w:p>
    <w:p>
      <w:pPr>
        <w:spacing w:after="0" w:line="285" w:lineRule="exact"/>
        <w:rPr>
          <w:color w:val="auto"/>
          <w:sz w:val="20"/>
          <w:szCs w:val="20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2017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12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27 </w:t>
      </w:r>
      <w:r>
        <w:rPr>
          <w:rFonts w:ascii="宋体" w:hAnsi="宋体" w:eastAsia="宋体" w:cs="宋体"/>
          <w:color w:val="auto"/>
          <w:sz w:val="32"/>
          <w:szCs w:val="32"/>
        </w:rPr>
        <w:t>日第三十五次校务会议讨论通过）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0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第一章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总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则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第一条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为进一步完善研究生奖助学金体系，加大研究生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奖助学金投入，促进拔尖创新人才培养，根据《财政部 国家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spacing w:after="0" w:line="490" w:lineRule="exact"/>
        <w:ind w:left="200" w:right="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发展改革委 教育部关于完善研究生教育投入机制的意见》（财教〔</w:t>
      </w:r>
      <w:r>
        <w:rPr>
          <w:rFonts w:ascii="Times" w:hAnsi="Times" w:eastAsia="Times" w:cs="Times"/>
          <w:color w:val="auto"/>
          <w:sz w:val="30"/>
          <w:szCs w:val="30"/>
        </w:rPr>
        <w:t>2013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19 </w:t>
      </w:r>
      <w:r>
        <w:rPr>
          <w:rFonts w:ascii="宋体" w:hAnsi="宋体" w:eastAsia="宋体" w:cs="宋体"/>
          <w:color w:val="auto"/>
          <w:sz w:val="30"/>
          <w:szCs w:val="30"/>
        </w:rPr>
        <w:t>号）、《研究生国家奖学金管理暂行办法》（财教〔</w:t>
      </w:r>
      <w:r>
        <w:rPr>
          <w:rFonts w:ascii="Times" w:hAnsi="Times" w:eastAsia="Times" w:cs="Times"/>
          <w:color w:val="auto"/>
          <w:sz w:val="30"/>
          <w:szCs w:val="30"/>
        </w:rPr>
        <w:t>2012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342 </w:t>
      </w:r>
      <w:r>
        <w:rPr>
          <w:rFonts w:ascii="宋体" w:hAnsi="宋体" w:eastAsia="宋体" w:cs="宋体"/>
          <w:color w:val="auto"/>
          <w:sz w:val="30"/>
          <w:szCs w:val="30"/>
        </w:rPr>
        <w:t>号）、《普通高等学校研究生国家奖学金评审办法》（教财〔</w:t>
      </w:r>
      <w:r>
        <w:rPr>
          <w:rFonts w:ascii="Times" w:hAnsi="Times" w:eastAsia="Times" w:cs="Times"/>
          <w:color w:val="auto"/>
          <w:sz w:val="30"/>
          <w:szCs w:val="30"/>
        </w:rPr>
        <w:t>2014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1 </w:t>
      </w:r>
      <w:r>
        <w:rPr>
          <w:rFonts w:ascii="宋体" w:hAnsi="宋体" w:eastAsia="宋体" w:cs="宋体"/>
          <w:color w:val="auto"/>
          <w:sz w:val="30"/>
          <w:szCs w:val="30"/>
        </w:rPr>
        <w:t>号）、《研究生学业奖学金管理暂行办法》（财教〔</w:t>
      </w:r>
      <w:r>
        <w:rPr>
          <w:rFonts w:ascii="Times" w:hAnsi="Times" w:eastAsia="Times" w:cs="Times"/>
          <w:color w:val="auto"/>
          <w:sz w:val="30"/>
          <w:szCs w:val="30"/>
        </w:rPr>
        <w:t>2013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219 </w:t>
      </w:r>
      <w:r>
        <w:rPr>
          <w:rFonts w:ascii="宋体" w:hAnsi="宋体" w:eastAsia="宋体" w:cs="宋体"/>
          <w:color w:val="auto"/>
          <w:sz w:val="30"/>
          <w:szCs w:val="30"/>
        </w:rPr>
        <w:t>号）、《研究生国家助学金管理暂行办法》（财教〔</w:t>
      </w:r>
      <w:r>
        <w:rPr>
          <w:rFonts w:ascii="Times" w:hAnsi="Times" w:eastAsia="Times" w:cs="Times"/>
          <w:color w:val="auto"/>
          <w:sz w:val="30"/>
          <w:szCs w:val="30"/>
        </w:rPr>
        <w:t>2013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220 </w:t>
      </w:r>
      <w:r>
        <w:rPr>
          <w:rFonts w:ascii="宋体" w:hAnsi="宋体" w:eastAsia="宋体" w:cs="宋体"/>
          <w:color w:val="auto"/>
          <w:sz w:val="30"/>
          <w:szCs w:val="30"/>
        </w:rPr>
        <w:t>号）、《教育部 财政部关于做好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高层次人才强军计划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及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少数民族高层次骨干人才计划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研究生收费及奖助工作的通知》（教财函〔</w:t>
      </w:r>
      <w:r>
        <w:rPr>
          <w:rFonts w:ascii="Times" w:hAnsi="Times" w:eastAsia="Times" w:cs="Times"/>
          <w:color w:val="auto"/>
          <w:sz w:val="30"/>
          <w:szCs w:val="30"/>
        </w:rPr>
        <w:t>2015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4 </w:t>
      </w:r>
      <w:r>
        <w:rPr>
          <w:rFonts w:ascii="宋体" w:hAnsi="宋体" w:eastAsia="宋体" w:cs="宋体"/>
          <w:color w:val="auto"/>
          <w:sz w:val="30"/>
          <w:szCs w:val="30"/>
        </w:rPr>
        <w:t>号）等文件精神，结合学校实际，</w:t>
      </w:r>
    </w:p>
    <w:p>
      <w:pPr>
        <w:spacing w:after="0" w:line="118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制订本办法。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研究生奖助学金包括：研究生国家奖学金、研究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生学业奖学金、拔尖博士生校长奖学金、研究生助学金、校级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奖励金等。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第三条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研究生国家奖学金、研究生学业奖学金、拔尖博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士生校长奖学金、研究生助学金奖励资助对象为具有中华人民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共和国国籍且纳入全国研究生招生计划的全日制非定向就业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研究生。校级奖励金资助对象为具有中华人民共和国国籍且纳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入全国研究生招生计划的非定向就业研究生。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tabs>
          <w:tab w:val="left" w:pos="2120"/>
        </w:tabs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第四条</w:t>
      </w:r>
      <w:r>
        <w:rPr>
          <w:color w:val="auto"/>
          <w:sz w:val="20"/>
          <w:szCs w:val="20"/>
        </w:rPr>
        <w:tab/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高层次人才强军计划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（以下简称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强军计划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）</w:t>
      </w:r>
    </w:p>
    <w:p>
      <w:pPr>
        <w:spacing w:after="0" w:line="187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―2―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85" w:lineRule="exact"/>
        <w:rPr>
          <w:color w:val="auto"/>
          <w:sz w:val="20"/>
          <w:szCs w:val="20"/>
        </w:rPr>
      </w:pPr>
      <w:bookmarkStart w:id="2" w:name="page3"/>
      <w:bookmarkEnd w:id="2"/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和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少数民族骨干人才计划</w:t>
      </w:r>
      <w:r>
        <w:rPr>
          <w:rFonts w:ascii="Times" w:hAnsi="Times" w:eastAsia="Times" w:cs="Times"/>
          <w:color w:val="auto"/>
          <w:sz w:val="31"/>
          <w:szCs w:val="31"/>
        </w:rPr>
        <w:t>”</w:t>
      </w:r>
      <w:r>
        <w:rPr>
          <w:rFonts w:ascii="宋体" w:hAnsi="宋体" w:eastAsia="宋体" w:cs="宋体"/>
          <w:color w:val="auto"/>
          <w:sz w:val="31"/>
          <w:szCs w:val="31"/>
        </w:rPr>
        <w:t>（ 以下简称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骨干计划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）享受研究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生助学金，在制定研究生学业奖学金配套文件时，对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强军计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和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骨干计划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研究生予以倾斜。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第五条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研究生奖助学金经费来源包括国家财政拨款、学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校统筹经费、导师科研经费支出以及社会企事业单位捐赠的专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项经费等。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第六条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研究生可同时申报研究生学业奖学金、研究生国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家奖学金、拔尖博士生校长奖学金和各项校级奖励金，但不能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同时获得研究生国家奖学金和各项校级奖励金。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6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第七条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成果认定以提供正式出版和正式发表的原件为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准。申请人在奖学金申报截止日后获得成果原件的，不能补报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申请本学年的奖学金。多个第一作者按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同等贡献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大小平均分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摊一篇。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366" w:lineRule="exact"/>
        <w:ind w:left="10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第八条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非全日制研究生不享受研究生国家奖学金、研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究生国家助学金、学校助学金、研究生学业奖学金等。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right="-11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研究生奖助学金评定基本条件及标准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第九条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研究生奖学金申请基本条件：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（一）热爱社会主义祖国，拥护中国共产党的领导；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（二）遵守宪法和法律，遵守学校规章制度；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（三）诚实守信，品学兼优；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（四）积极参与科学研究和社会实践。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研究生国家奖学金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研究生国家奖学金由中央财政出资设立，用于奖励学习成绩</w:t>
      </w:r>
    </w:p>
    <w:p>
      <w:pPr>
        <w:spacing w:after="0" w:line="198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优异、科研能力显著、发展潜力突出的全日制非定向就业研究生。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4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―3―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72" w:lineRule="exact"/>
        <w:rPr>
          <w:color w:val="auto"/>
          <w:sz w:val="20"/>
          <w:szCs w:val="20"/>
        </w:rPr>
      </w:pPr>
      <w:bookmarkStart w:id="3" w:name="page4"/>
      <w:bookmarkEnd w:id="3"/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研究生国家奖学金奖励标准为博士研究生每生每年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 </w:t>
      </w:r>
      <w:r>
        <w:rPr>
          <w:rFonts w:ascii="宋体" w:hAnsi="宋体" w:eastAsia="宋体" w:cs="宋体"/>
          <w:color w:val="auto"/>
          <w:sz w:val="32"/>
          <w:szCs w:val="32"/>
        </w:rPr>
        <w:t>万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元，硕士研究生每生每年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2 </w:t>
      </w:r>
      <w:r>
        <w:rPr>
          <w:rFonts w:ascii="宋体" w:hAnsi="宋体" w:eastAsia="宋体" w:cs="宋体"/>
          <w:color w:val="auto"/>
          <w:sz w:val="31"/>
          <w:szCs w:val="31"/>
        </w:rPr>
        <w:t>万元。研究生国家奖学金名额以教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育部当年实际下达指标为准。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第十一条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研究生学业奖学金由中央财政及学校统筹经费设立。用于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奖励勤奋学习、潜心科研、勇于创新、积极进取的优秀研究生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更好地完成学业。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研究生学业奖学金按学年进行动态评定。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博士研究生学业奖学金一年级不分等级，每生每年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1.5 </w:t>
      </w:r>
      <w:r>
        <w:rPr>
          <w:rFonts w:ascii="宋体" w:hAnsi="宋体" w:eastAsia="宋体" w:cs="宋体"/>
          <w:color w:val="auto"/>
          <w:sz w:val="32"/>
          <w:szCs w:val="32"/>
        </w:rPr>
        <w:t>万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元；高年级分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</w:t>
      </w:r>
      <w:r>
        <w:rPr>
          <w:rFonts w:ascii="宋体" w:hAnsi="宋体" w:eastAsia="宋体" w:cs="宋体"/>
          <w:color w:val="auto"/>
          <w:sz w:val="32"/>
          <w:szCs w:val="32"/>
        </w:rPr>
        <w:t>个等级，一等每生每年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2.2 </w:t>
      </w:r>
      <w:r>
        <w:rPr>
          <w:rFonts w:ascii="宋体" w:hAnsi="宋体" w:eastAsia="宋体" w:cs="宋体"/>
          <w:color w:val="auto"/>
          <w:sz w:val="32"/>
          <w:szCs w:val="32"/>
        </w:rPr>
        <w:t>万元；二等每生每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numPr>
          <w:ilvl w:val="0"/>
          <w:numId w:val="2"/>
        </w:numPr>
        <w:tabs>
          <w:tab w:val="left" w:pos="600"/>
        </w:tabs>
        <w:spacing w:after="0" w:line="390" w:lineRule="exact"/>
        <w:ind w:left="600" w:hanging="396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1.3 </w:t>
      </w:r>
      <w:r>
        <w:rPr>
          <w:rFonts w:ascii="宋体" w:hAnsi="宋体" w:eastAsia="宋体" w:cs="宋体"/>
          <w:color w:val="auto"/>
          <w:sz w:val="32"/>
          <w:szCs w:val="32"/>
        </w:rPr>
        <w:t>万元；三等每生每年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0.5 </w:t>
      </w:r>
      <w:r>
        <w:rPr>
          <w:rFonts w:ascii="宋体" w:hAnsi="宋体" w:eastAsia="宋体" w:cs="宋体"/>
          <w:color w:val="auto"/>
          <w:sz w:val="32"/>
          <w:szCs w:val="32"/>
        </w:rPr>
        <w:t>万元。</w:t>
      </w:r>
    </w:p>
    <w:p>
      <w:pPr>
        <w:spacing w:after="0" w:line="175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5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0"/>
          <w:szCs w:val="30"/>
        </w:rPr>
        <w:t>硕士研究生学业奖学金一年级新生分</w:t>
      </w:r>
      <w:r>
        <w:rPr>
          <w:rFonts w:ascii="Times" w:hAnsi="Times" w:eastAsia="Times" w:cs="Times"/>
          <w:color w:val="auto"/>
          <w:sz w:val="30"/>
          <w:szCs w:val="30"/>
        </w:rPr>
        <w:t xml:space="preserve"> 2 </w:t>
      </w:r>
      <w:r>
        <w:rPr>
          <w:rFonts w:ascii="宋体" w:hAnsi="宋体" w:eastAsia="宋体" w:cs="宋体"/>
          <w:color w:val="auto"/>
          <w:sz w:val="30"/>
          <w:szCs w:val="30"/>
        </w:rPr>
        <w:t>个等级标准：推免生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 </w:t>
      </w:r>
      <w:r>
        <w:rPr>
          <w:rFonts w:ascii="宋体" w:hAnsi="宋体" w:eastAsia="宋体" w:cs="宋体"/>
          <w:color w:val="auto"/>
          <w:sz w:val="31"/>
          <w:szCs w:val="31"/>
        </w:rPr>
        <w:t>万元，非推免生每生每年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0.8 </w:t>
      </w:r>
      <w:r>
        <w:rPr>
          <w:rFonts w:ascii="宋体" w:hAnsi="宋体" w:eastAsia="宋体" w:cs="宋体"/>
          <w:color w:val="auto"/>
          <w:sz w:val="31"/>
          <w:szCs w:val="31"/>
        </w:rPr>
        <w:t>万元；高年级分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3 </w:t>
      </w:r>
      <w:r>
        <w:rPr>
          <w:rFonts w:ascii="宋体" w:hAnsi="宋体" w:eastAsia="宋体" w:cs="宋体"/>
          <w:color w:val="auto"/>
          <w:sz w:val="31"/>
          <w:szCs w:val="31"/>
        </w:rPr>
        <w:t>个等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级标准，一等奖每生每年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1.2 </w:t>
      </w:r>
      <w:r>
        <w:rPr>
          <w:rFonts w:ascii="宋体" w:hAnsi="宋体" w:eastAsia="宋体" w:cs="宋体"/>
          <w:color w:val="auto"/>
          <w:sz w:val="31"/>
          <w:szCs w:val="31"/>
        </w:rPr>
        <w:t>万元，二等奖每生每年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0.8 </w:t>
      </w:r>
      <w:r>
        <w:rPr>
          <w:rFonts w:ascii="宋体" w:hAnsi="宋体" w:eastAsia="宋体" w:cs="宋体"/>
          <w:color w:val="auto"/>
          <w:sz w:val="31"/>
          <w:szCs w:val="31"/>
        </w:rPr>
        <w:t>万元，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三等奖每生每年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0.5 </w:t>
      </w:r>
      <w:r>
        <w:rPr>
          <w:rFonts w:ascii="宋体" w:hAnsi="宋体" w:eastAsia="宋体" w:cs="宋体"/>
          <w:color w:val="auto"/>
          <w:sz w:val="32"/>
          <w:szCs w:val="32"/>
        </w:rPr>
        <w:t>万元。具体设置等级及奖励标准见表一。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10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表一：研究生学业奖学金设置等级及标准</w:t>
      </w:r>
    </w:p>
    <w:p>
      <w:pPr>
        <w:spacing w:after="0" w:line="78" w:lineRule="exact"/>
        <w:rPr>
          <w:color w:val="auto"/>
          <w:sz w:val="20"/>
          <w:szCs w:val="20"/>
        </w:rPr>
      </w:pPr>
    </w:p>
    <w:tbl>
      <w:tblPr>
        <w:tblStyle w:val="3"/>
        <w:tblW w:w="8920" w:type="dxa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260"/>
        <w:gridCol w:w="1900"/>
        <w:gridCol w:w="1920"/>
        <w:gridCol w:w="214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奖励标准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60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5"/>
                <w:szCs w:val="25"/>
              </w:rPr>
              <w:t>培养类别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5"/>
                <w:szCs w:val="25"/>
              </w:rPr>
              <w:t>等</w:t>
            </w:r>
            <w:bookmarkStart w:id="9" w:name="_GoBack"/>
            <w:bookmarkEnd w:id="9"/>
            <w:r>
              <w:rPr>
                <w:rFonts w:ascii="宋体" w:hAnsi="宋体" w:eastAsia="宋体" w:cs="宋体"/>
                <w:color w:val="auto"/>
                <w:sz w:val="25"/>
                <w:szCs w:val="25"/>
              </w:rPr>
              <w:t>级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5"/>
                <w:szCs w:val="25"/>
              </w:rPr>
              <w:t>获奖比例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34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5"/>
                <w:szCs w:val="25"/>
              </w:rPr>
              <w:t>（万元）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3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新生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不分等级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100%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博士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一等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30%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2.2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研究生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高年级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二等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60%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三等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10%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3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推免生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7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新生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8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6"/>
                <w:szCs w:val="26"/>
              </w:rPr>
              <w:t>非推免生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3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5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硕士</w:t>
            </w: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3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30%</w:t>
            </w:r>
          </w:p>
        </w:tc>
        <w:tc>
          <w:tcPr>
            <w:tcW w:w="2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5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6"/>
                <w:szCs w:val="26"/>
              </w:rPr>
              <w:t>一等</w:t>
            </w: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13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6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研究生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3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60%</w:t>
            </w:r>
          </w:p>
        </w:tc>
        <w:tc>
          <w:tcPr>
            <w:tcW w:w="2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3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6"/>
                <w:szCs w:val="26"/>
              </w:rPr>
              <w:t>高年级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35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7"/>
                <w:szCs w:val="27"/>
              </w:rPr>
              <w:t>二等</w:t>
            </w: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三等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10%</w:t>
            </w:r>
          </w:p>
        </w:tc>
        <w:tc>
          <w:tcPr>
            <w:tcW w:w="2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13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28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―4―</w:t>
      </w:r>
    </w:p>
    <w:p>
      <w:pPr>
        <w:sectPr>
          <w:type w:val="continuous"/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39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tabs>
          <w:tab w:val="left" w:pos="2740"/>
        </w:tabs>
        <w:spacing w:after="0" w:line="366" w:lineRule="exact"/>
        <w:ind w:left="1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第十二条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拔尖博士生校长奖学金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拔尖博士生校长奖学金主要面向已取得较突出学术或技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术研究成果的博士生。</w:t>
      </w:r>
    </w:p>
    <w:p>
      <w:pPr>
        <w:spacing w:after="0" w:line="244" w:lineRule="exact"/>
        <w:rPr>
          <w:color w:val="auto"/>
          <w:sz w:val="20"/>
          <w:szCs w:val="20"/>
        </w:rPr>
      </w:pPr>
    </w:p>
    <w:p>
      <w:pPr>
        <w:spacing w:after="0" w:line="446" w:lineRule="exact"/>
        <w:ind w:left="200" w:right="200" w:firstLine="641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拔尖博士生校长奖学金特等金额为每生每年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9.6 </w:t>
      </w:r>
      <w:r>
        <w:rPr>
          <w:rFonts w:ascii="宋体" w:hAnsi="宋体" w:eastAsia="宋体" w:cs="宋体"/>
          <w:color w:val="auto"/>
          <w:sz w:val="32"/>
          <w:szCs w:val="32"/>
        </w:rPr>
        <w:t>万元，人数为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5 </w:t>
      </w:r>
      <w:r>
        <w:rPr>
          <w:rFonts w:ascii="宋体" w:hAnsi="宋体" w:eastAsia="宋体" w:cs="宋体"/>
          <w:color w:val="auto"/>
          <w:sz w:val="32"/>
          <w:szCs w:val="32"/>
        </w:rPr>
        <w:t>名；一等金额为每生每年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4.8 </w:t>
      </w:r>
      <w:r>
        <w:rPr>
          <w:rFonts w:ascii="宋体" w:hAnsi="宋体" w:eastAsia="宋体" w:cs="宋体"/>
          <w:color w:val="auto"/>
          <w:sz w:val="32"/>
          <w:szCs w:val="32"/>
        </w:rPr>
        <w:t>万元，人数为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30 </w:t>
      </w:r>
      <w:r>
        <w:rPr>
          <w:rFonts w:ascii="宋体" w:hAnsi="宋体" w:eastAsia="宋体" w:cs="宋体"/>
          <w:color w:val="auto"/>
          <w:sz w:val="32"/>
          <w:szCs w:val="32"/>
        </w:rPr>
        <w:t>名。</w:t>
      </w:r>
    </w:p>
    <w:p>
      <w:pPr>
        <w:spacing w:after="0" w:line="119" w:lineRule="exact"/>
        <w:rPr>
          <w:color w:val="auto"/>
          <w:sz w:val="20"/>
          <w:szCs w:val="20"/>
        </w:rPr>
      </w:pPr>
    </w:p>
    <w:p>
      <w:pPr>
        <w:tabs>
          <w:tab w:val="left" w:pos="2380"/>
        </w:tabs>
        <w:spacing w:after="0" w:line="366" w:lineRule="exact"/>
        <w:ind w:left="8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第十三条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研究生助学金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研究生助学金由研究生国家助学金、学校助学金及导师助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学金三部分组成。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（一）研究生国家助学金由中央财政承担，资助标准为：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博士研究生每生每年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1.5 </w:t>
      </w:r>
      <w:r>
        <w:rPr>
          <w:rFonts w:ascii="宋体" w:hAnsi="宋体" w:eastAsia="宋体" w:cs="宋体"/>
          <w:color w:val="auto"/>
          <w:sz w:val="31"/>
          <w:szCs w:val="31"/>
        </w:rPr>
        <w:t>万元，硕士研究生每生每年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0.6 </w:t>
      </w:r>
      <w:r>
        <w:rPr>
          <w:rFonts w:ascii="宋体" w:hAnsi="宋体" w:eastAsia="宋体" w:cs="宋体"/>
          <w:color w:val="auto"/>
          <w:sz w:val="31"/>
          <w:szCs w:val="31"/>
        </w:rPr>
        <w:t>万元。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2" w:lineRule="exact"/>
        <w:rPr>
          <w:color w:val="auto"/>
          <w:sz w:val="20"/>
          <w:szCs w:val="20"/>
        </w:rPr>
      </w:pPr>
    </w:p>
    <w:p>
      <w:pPr>
        <w:spacing w:after="0" w:line="405" w:lineRule="exact"/>
        <w:ind w:left="200" w:right="200" w:firstLine="634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（二）学校助学金由学校统筹利用财政经费、学费收入等资金承担，资助标准为：博士研究生每生每年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0.5 </w:t>
      </w:r>
      <w:r>
        <w:rPr>
          <w:rFonts w:ascii="宋体" w:hAnsi="宋体" w:eastAsia="宋体" w:cs="宋体"/>
          <w:color w:val="auto"/>
          <w:sz w:val="32"/>
          <w:szCs w:val="32"/>
        </w:rPr>
        <w:t>万元，硕士推免生每生每年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0.2 </w:t>
      </w:r>
      <w:r>
        <w:rPr>
          <w:rFonts w:ascii="宋体" w:hAnsi="宋体" w:eastAsia="宋体" w:cs="宋体"/>
          <w:color w:val="auto"/>
          <w:sz w:val="32"/>
          <w:szCs w:val="32"/>
        </w:rPr>
        <w:t>万元，其他硕士研究生不设立。</w:t>
      </w:r>
    </w:p>
    <w:p>
      <w:pPr>
        <w:spacing w:after="0" w:line="120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（三）导师助学金由导师从科研项目助研经费中设立支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出。享受导师助学金的研究生，应完成导师规定的助研工作，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具体要求和管理办法由二级单位及导师制定。导师助学金最低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资助标准设置见表二。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表二：导师助学金最低资助标准设置</w:t>
      </w:r>
    </w:p>
    <w:p>
      <w:pPr>
        <w:spacing w:after="0" w:line="78" w:lineRule="exact"/>
        <w:rPr>
          <w:color w:val="auto"/>
          <w:sz w:val="20"/>
          <w:szCs w:val="20"/>
        </w:rPr>
      </w:pPr>
    </w:p>
    <w:tbl>
      <w:tblPr>
        <w:tblStyle w:val="3"/>
        <w:tblW w:w="8840" w:type="dxa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0"/>
        <w:gridCol w:w="2520"/>
        <w:gridCol w:w="248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4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19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培养类别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34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学科门类</w:t>
            </w: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博士研究生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硕士研究生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（金额：万元</w:t>
            </w: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年）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（金额：万元</w:t>
            </w: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年）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人文社科类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0.4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0.15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管理学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0.5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8"/>
                <w:szCs w:val="28"/>
              </w:rPr>
              <w:t>理学、医学（不含临床医学）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0.6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>0.25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工学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0.8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0.3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临床医学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1.8</w:t>
            </w: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7"/>
                <w:sz w:val="28"/>
                <w:szCs w:val="28"/>
              </w:rPr>
              <w:t>1.6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3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6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―5―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39" w:lineRule="exact"/>
        <w:rPr>
          <w:color w:val="auto"/>
          <w:sz w:val="20"/>
          <w:szCs w:val="20"/>
        </w:rPr>
      </w:pPr>
      <w:bookmarkStart w:id="5" w:name="page6"/>
      <w:bookmarkEnd w:id="5"/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第十四条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各类校级奖励金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社会各界在学校设有多类年度校级奖励金。学校支持并继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续争取社会各界捐资冠名设立校级奖励金。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160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第三章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研究生奖学金助学金评审组织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第十五条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研究生奖助学金由校院两级进行评审。学校成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立研究生奖助学金评审领导小组（以下简称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评审领导小组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），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由学校主管领导、研究生院、本科生院、纪委、监察处、学工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部等部门负责人及研究生导师代表（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5-7  </w:t>
      </w:r>
      <w:r>
        <w:rPr>
          <w:rFonts w:ascii="宋体" w:hAnsi="宋体" w:eastAsia="宋体" w:cs="宋体"/>
          <w:color w:val="auto"/>
          <w:sz w:val="32"/>
          <w:szCs w:val="32"/>
        </w:rPr>
        <w:t>人）组成。下设评审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领导小组办公室，挂靠研究生院培养与管理办公室。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评审领导小组负责制订学校研究生奖助学金改革总体规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划及有关政策；统筹领导、协调、监督本校评审工作；裁决学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生对评审结果的申诉。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评审领导小组办公室负责制定各类研究生奖助学金管理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评定办法并组织实施。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5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第十六条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0"/>
          <w:szCs w:val="30"/>
        </w:rPr>
        <w:t>各二级研究生培养单位（以下简称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二级单位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）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应成立研究生奖助学金评审委员会（以下简称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评审委员会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），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由二级培养单位主要负责人、研究生导师、行政管理人员、研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究生代表（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3-5 </w:t>
      </w:r>
      <w:r>
        <w:rPr>
          <w:rFonts w:ascii="宋体" w:hAnsi="宋体" w:eastAsia="宋体" w:cs="宋体"/>
          <w:color w:val="auto"/>
          <w:sz w:val="32"/>
          <w:szCs w:val="32"/>
        </w:rPr>
        <w:t>人）组成。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评审委员会负责制订本单位研究生奖助学金评审实施细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则；负责组织研究生奖助学金初步评审等工作；裁决学生对初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评结果的申诉。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5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第十七条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评审委员会成员在履行评审工作职责时应遵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循以下原则：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4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―6―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50" w:lineRule="exact"/>
        <w:rPr>
          <w:color w:val="auto"/>
          <w:sz w:val="20"/>
          <w:szCs w:val="20"/>
        </w:rPr>
      </w:pPr>
      <w:bookmarkStart w:id="6" w:name="page7"/>
      <w:bookmarkEnd w:id="6"/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（一）平等原则，即在评审过程中，积极听取其他委员的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意见，在平等、协商的气氛中提出评审意见；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（二）回避原则，即发生与评审对象存在亲属关系、直接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经济利益关系或有其他可能影响评审工作公平公正的情形时，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应主动向评审委员会申请回避；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（三）公正原则，即不得利用评审委员的特殊身份和影响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力，单独或与有关人员共同为评审对象提供获奖便利；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（四）保密原则，即不得擅自披露评审结果及其他评审委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员的意见等相关保密信息。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240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第四章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研究生奖学金评审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5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第十八条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研究生出现下列情况之一的，不能参评奖学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金：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1.</w:t>
      </w:r>
      <w:r>
        <w:rPr>
          <w:rFonts w:ascii="宋体" w:hAnsi="宋体" w:eastAsia="宋体" w:cs="宋体"/>
          <w:color w:val="auto"/>
          <w:sz w:val="32"/>
          <w:szCs w:val="32"/>
        </w:rPr>
        <w:t>上学年违反国家法律、校纪校规受到纪律处分者；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2.</w:t>
      </w:r>
      <w:r>
        <w:rPr>
          <w:rFonts w:ascii="宋体" w:hAnsi="宋体" w:eastAsia="宋体" w:cs="宋体"/>
          <w:color w:val="auto"/>
          <w:sz w:val="32"/>
          <w:szCs w:val="32"/>
        </w:rPr>
        <w:t>上学年有抄袭剽窃、弄虚作假等学术不端行为经查证属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实者；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3.</w:t>
      </w:r>
      <w:r>
        <w:rPr>
          <w:rFonts w:ascii="宋体" w:hAnsi="宋体" w:eastAsia="宋体" w:cs="宋体"/>
          <w:color w:val="auto"/>
          <w:sz w:val="32"/>
          <w:szCs w:val="32"/>
        </w:rPr>
        <w:t>参评时学位课程（指：公共学位课、学科基础课、专业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课）考试不及格者；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4.</w:t>
      </w:r>
      <w:r>
        <w:rPr>
          <w:rFonts w:ascii="宋体" w:hAnsi="宋体" w:eastAsia="宋体" w:cs="宋体"/>
          <w:color w:val="auto"/>
          <w:sz w:val="32"/>
          <w:szCs w:val="32"/>
        </w:rPr>
        <w:t>上学年开题报告或博士生资格考试未通过者；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5.</w:t>
      </w:r>
      <w:r>
        <w:rPr>
          <w:rFonts w:ascii="宋体" w:hAnsi="宋体" w:eastAsia="宋体" w:cs="宋体"/>
          <w:color w:val="auto"/>
          <w:sz w:val="32"/>
          <w:szCs w:val="32"/>
        </w:rPr>
        <w:t>本学年未按时注册者；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6.</w:t>
      </w:r>
      <w:r>
        <w:rPr>
          <w:rFonts w:ascii="宋体" w:hAnsi="宋体" w:eastAsia="宋体" w:cs="宋体"/>
          <w:color w:val="auto"/>
          <w:sz w:val="32"/>
          <w:szCs w:val="32"/>
        </w:rPr>
        <w:t>参评学年学籍状态处于休学、保留学籍者；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7.</w:t>
      </w:r>
      <w:r>
        <w:rPr>
          <w:rFonts w:ascii="宋体" w:hAnsi="宋体" w:eastAsia="宋体" w:cs="宋体"/>
          <w:color w:val="auto"/>
          <w:sz w:val="32"/>
          <w:szCs w:val="32"/>
        </w:rPr>
        <w:t>上学年在科学研究和实验工作、临床实践中造成重大事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故及损失者；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8.</w:t>
      </w:r>
      <w:r>
        <w:rPr>
          <w:rFonts w:ascii="宋体" w:hAnsi="宋体" w:eastAsia="宋体" w:cs="宋体"/>
          <w:color w:val="auto"/>
          <w:sz w:val="32"/>
          <w:szCs w:val="32"/>
        </w:rPr>
        <w:t>上学年存在其他损害学校声誉的不当行为者。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6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―7―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41" w:lineRule="exact"/>
        <w:rPr>
          <w:color w:val="auto"/>
          <w:sz w:val="20"/>
          <w:szCs w:val="20"/>
        </w:rPr>
      </w:pPr>
      <w:bookmarkStart w:id="7" w:name="page8"/>
      <w:bookmarkEnd w:id="7"/>
    </w:p>
    <w:p>
      <w:pPr>
        <w:tabs>
          <w:tab w:val="left" w:pos="300"/>
        </w:tabs>
        <w:spacing w:after="0" w:line="366" w:lineRule="exact"/>
        <w:ind w:left="224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第五章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研究生奖助学金发放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第十九条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研究生国家奖学金、研究生学业奖学金、各类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校级奖励金（拔尖博士生校长奖学金除外）全额一次性发给获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奖研究生。研究生国家助学金、学校助学金、拔尖博士生校长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奖学金，每年按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10 </w:t>
      </w:r>
      <w:r>
        <w:rPr>
          <w:rFonts w:ascii="宋体" w:hAnsi="宋体" w:eastAsia="宋体" w:cs="宋体"/>
          <w:color w:val="auto"/>
          <w:sz w:val="32"/>
          <w:szCs w:val="32"/>
        </w:rPr>
        <w:t>个月按月发给研究生。导师助学金由导师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按月（或学期）从科研项目经费中列支，并按学校规定发放给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研究生。临床医学研究生助学金由临床医院按月发放给研究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研究生在学制期限内，由于出国、疾病等原因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办理保留学籍或休学等手续的，暂停对其发放研究生助学金，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待其恢复学籍后再行发放。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8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第二十一条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提前毕业研究生自通过学位论文答辩并颁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发毕业证书的下月起，停发研究生助学金。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176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第六章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研究生奖助学金的过程管理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第二十二条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研究生要自觉遵守国家、学校的各项规章制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度，及时向研究生院等部门举报违规违纪行为，切实维护学校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和自身的合法权益。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第二十三条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严格全日制非定向就业研究生档案管理。不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得擅自将全日制非定向就业研究生档案转入或转出学校。原在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职考取研究生，如通过将人事档案转入学校，开具不实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工资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关系转移函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等方式弄虚作假为全日制非定向就业研究生的，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按骗取学校奖助学金的有关规定处理，当事研究生所得的各类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奖助学金由导师负责追回，并对当事研究生所在二级培养单位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和导师进行通报。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―8―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52" w:lineRule="exact"/>
        <w:rPr>
          <w:color w:val="auto"/>
          <w:sz w:val="20"/>
          <w:szCs w:val="20"/>
        </w:rPr>
      </w:pPr>
      <w:bookmarkStart w:id="8" w:name="page9"/>
      <w:bookmarkEnd w:id="8"/>
    </w:p>
    <w:p>
      <w:pPr>
        <w:spacing w:after="0" w:line="354" w:lineRule="exact"/>
        <w:ind w:left="34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第七章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21" w:lineRule="exact"/>
        <w:rPr>
          <w:color w:val="auto"/>
          <w:sz w:val="20"/>
          <w:szCs w:val="20"/>
        </w:rPr>
      </w:pPr>
    </w:p>
    <w:p>
      <w:pPr>
        <w:tabs>
          <w:tab w:val="left" w:pos="620"/>
        </w:tabs>
        <w:spacing w:after="0" w:line="36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附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则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1900" w:h="16840"/>
          <w:pgMar w:top="1440" w:right="1440" w:bottom="492" w:left="1440" w:header="0" w:footer="0" w:gutter="0"/>
          <w:cols w:equalWidth="0" w:num="2">
            <w:col w:w="4360" w:space="320"/>
            <w:col w:w="4340"/>
          </w:cols>
        </w:sect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第二十四条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4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本办法自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 w:line="378" w:lineRule="exact"/>
        <w:jc w:val="center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 xml:space="preserve">2018 </w:t>
      </w:r>
      <w:r>
        <w:rPr>
          <w:rFonts w:ascii="宋体" w:hAnsi="宋体" w:eastAsia="宋体" w:cs="宋体"/>
          <w:color w:val="auto"/>
          <w:sz w:val="31"/>
          <w:szCs w:val="31"/>
        </w:rPr>
        <w:t>年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48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3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193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月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 w:line="378" w:lineRule="exact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 xml:space="preserve">15 </w:t>
      </w:r>
      <w:r>
        <w:rPr>
          <w:rFonts w:ascii="宋体" w:hAnsi="宋体" w:eastAsia="宋体" w:cs="宋体"/>
          <w:color w:val="auto"/>
          <w:sz w:val="31"/>
          <w:szCs w:val="31"/>
        </w:rPr>
        <w:t>日起施行，由研究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40"/>
          <w:pgMar w:top="1440" w:right="1440" w:bottom="492" w:left="1440" w:header="0" w:footer="0" w:gutter="0"/>
          <w:cols w:equalWidth="0" w:num="6">
            <w:col w:w="2440" w:space="320"/>
            <w:col w:w="1280" w:space="80"/>
            <w:col w:w="1040" w:space="80"/>
            <w:col w:w="160" w:space="80"/>
            <w:col w:w="320" w:space="80"/>
            <w:col w:w="3140"/>
          </w:cols>
        </w:sectPr>
      </w:pPr>
    </w:p>
    <w:p>
      <w:pPr>
        <w:spacing w:after="0" w:line="354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生院负责解释。原《中南大学研究生奖学金助学金管理办法》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（中大研字〔</w:t>
      </w:r>
      <w:r>
        <w:rPr>
          <w:rFonts w:ascii="Times" w:hAnsi="Times" w:eastAsia="Times" w:cs="Times"/>
          <w:color w:val="auto"/>
          <w:sz w:val="32"/>
          <w:szCs w:val="32"/>
        </w:rPr>
        <w:t>2014</w:t>
      </w:r>
      <w:r>
        <w:rPr>
          <w:rFonts w:ascii="宋体" w:hAnsi="宋体" w:eastAsia="宋体" w:cs="宋体"/>
          <w:color w:val="auto"/>
          <w:sz w:val="32"/>
          <w:szCs w:val="32"/>
        </w:rPr>
        <w:t>〕</w:t>
      </w:r>
      <w:r>
        <w:rPr>
          <w:rFonts w:ascii="Times" w:hAnsi="Times" w:eastAsia="Times" w:cs="Times"/>
          <w:color w:val="auto"/>
          <w:sz w:val="32"/>
          <w:szCs w:val="32"/>
        </w:rPr>
        <w:t xml:space="preserve">14 </w:t>
      </w:r>
      <w:r>
        <w:rPr>
          <w:rFonts w:ascii="宋体" w:hAnsi="宋体" w:eastAsia="宋体" w:cs="宋体"/>
          <w:color w:val="auto"/>
          <w:sz w:val="32"/>
          <w:szCs w:val="32"/>
        </w:rPr>
        <w:t>号）同时废止。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tabs>
          <w:tab w:val="left" w:pos="28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第二十五条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本办法中规定的研究生奖助学金配套管理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办法另行制定。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5654675</wp:posOffset>
                </wp:positionV>
                <wp:extent cx="547306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10.15pt;margin-top:445.25pt;height:0pt;width:430.95pt;z-index:-251658240;mso-width-relative:page;mso-height-relative:page;" fillcolor="#FFFFFF" filled="t" stroked="t" coordsize="21600,21600" o:allowincell="f" o:gfxdata="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XUiZXVAAAACgEAAA8AAAAAAAAAAQAgAAAAIgAA&#10;AGRycy9kb3ducmV2LnhtbFBLAQIUABQAAAAIAIdO4kAmyyFrmQEAAEsDAAAOAAAAAAAAAAEAIAAA&#10;ACQBAABkcnMvZTJvRG9jLnhtbFBLBQYAAAAABgAGAFkBAAAvBQAAAAA=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5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抄送：各二级党组织、党群部门。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125730</wp:posOffset>
                </wp:positionV>
                <wp:extent cx="547306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10.15pt;margin-top:9.9pt;height:0pt;width:430.95pt;z-index:-251658240;mso-width-relative:page;mso-height-relative:page;" fillcolor="#FFFFFF" filled="t" stroked="t" coordsize="21600,21600" o:allowincell="f" o:gfxdata="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rSVOW1QAAAAgBAAAPAAAAAAAAAAEAIAAAACIAAABk&#10;cnMvZG93bnJldi54bWxQSwECFAAUAAAACACHTuJArkGMCpcBAABLAwAADgAAAAAAAAABACAAAAAk&#10;AQAAZHJzL2Uyb0RvYy54bWxQSwUGAAAAAAYABgBZAQAALQUAAAAA&#10;">
                <v:fill on="t" focussize="0,0"/>
                <v:stroke weight="0.71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13" w:lineRule="exact"/>
        <w:rPr>
          <w:color w:val="auto"/>
          <w:sz w:val="20"/>
          <w:szCs w:val="20"/>
        </w:rPr>
      </w:pPr>
    </w:p>
    <w:tbl>
      <w:tblPr>
        <w:tblStyle w:val="3"/>
        <w:tblW w:w="8620" w:type="dxa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240"/>
        <w:gridCol w:w="3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80" w:type="dxa"/>
            <w:vAlign w:val="bottom"/>
          </w:tcPr>
          <w:p>
            <w:pPr>
              <w:spacing w:after="0" w:line="320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中 南 大 学办公室</w:t>
            </w:r>
          </w:p>
        </w:tc>
        <w:tc>
          <w:tcPr>
            <w:tcW w:w="2240" w:type="dxa"/>
            <w:vAlign w:val="bottom"/>
          </w:tcPr>
          <w:p>
            <w:pPr>
              <w:spacing w:after="0" w:line="320" w:lineRule="exact"/>
              <w:ind w:left="6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主动 公 开</w:t>
            </w:r>
          </w:p>
        </w:tc>
        <w:tc>
          <w:tcPr>
            <w:tcW w:w="3500" w:type="dxa"/>
            <w:vAlign w:val="bottom"/>
          </w:tcPr>
          <w:p>
            <w:pPr>
              <w:spacing w:after="0" w:line="341" w:lineRule="exact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 xml:space="preserve">2018 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 xml:space="preserve"> 3 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Fonts w:ascii="Times" w:hAnsi="Times" w:eastAsia="Times" w:cs="Times"/>
                <w:color w:val="auto"/>
                <w:sz w:val="28"/>
                <w:szCs w:val="28"/>
              </w:rPr>
              <w:t xml:space="preserve"> 15 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日印 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2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>
            <w:pPr>
              <w:spacing w:after="0"/>
              <w:ind w:left="29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4"/>
                <w:sz w:val="24"/>
                <w:szCs w:val="24"/>
              </w:rPr>
              <w:t>―9―</w:t>
            </w:r>
          </w:p>
        </w:tc>
      </w:tr>
    </w:tbl>
    <w:p>
      <w:pPr>
        <w:spacing w:after="0" w:line="1" w:lineRule="exact"/>
        <w:rPr>
          <w:color w:val="auto"/>
          <w:sz w:val="20"/>
          <w:szCs w:val="20"/>
        </w:rPr>
      </w:pPr>
    </w:p>
    <w:sectPr>
      <w:type w:val="continuous"/>
      <w:pgSz w:w="11900" w:h="16840"/>
      <w:pgMar w:top="1440" w:right="1440" w:bottom="492" w:left="1440" w:header="0" w:footer="0" w:gutter="0"/>
      <w:cols w:equalWidth="0" w:num="1">
        <w:col w:w="9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singleLevel"/>
    <w:tmpl w:val="00005F90"/>
    <w:lvl w:ilvl="0" w:tentative="0">
      <w:start w:val="1"/>
      <w:numFmt w:val="bullet"/>
      <w:lvlText w:val="年"/>
      <w:lvlJc w:val="left"/>
    </w:lvl>
  </w:abstractNum>
  <w:abstractNum w:abstractNumId="1">
    <w:nsid w:val="00006952"/>
    <w:multiLevelType w:val="singleLevel"/>
    <w:tmpl w:val="00006952"/>
    <w:lvl w:ilvl="0" w:tentative="0">
      <w:start w:val="27"/>
      <w:numFmt w:val="decimal"/>
      <w:lvlText w:val="%1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5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ScaleCrop>false</ScaleCrop>
  <LinksUpToDate>false</LinksUpToDate>
  <CharactersWithSpaces>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2018-04-20T09:35:00Z</dcterms:created>
  <dc:creator>Windows User</dc:creator>
  <cp:lastModifiedBy>wang</cp:lastModifiedBy>
  <dcterms:modified xsi:type="dcterms:W3CDTF">2018-04-20T08:35:49Z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