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-WinCharSetFFFF-H" w:hAnsi="仿宋_GB2312-WinCharSetFFFF-H" w:eastAsia="仿宋_GB2312-WinCharSetFFFF-H"/>
          <w:sz w:val="32"/>
        </w:rPr>
      </w:pPr>
      <w:r>
        <w:drawing>
          <wp:inline distT="0" distB="0" distL="114300" distR="114300">
            <wp:extent cx="4314190" cy="52387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中大研字〔2016〕343 号</w:t>
      </w:r>
    </w:p>
    <w:p>
      <w:pPr>
        <w:spacing w:beforeLines="0" w:afterLines="0"/>
        <w:jc w:val="center"/>
        <w:rPr>
          <w:rFonts w:hint="eastAsia" w:ascii="方正小标宋简体-WinCharSetFFFF-H" w:hAnsi="方正小标宋简体-WinCharSetFFFF-H" w:eastAsia="方正小标宋简体-WinCharSetFFFF-H"/>
          <w:sz w:val="44"/>
        </w:rPr>
      </w:pPr>
      <w:r>
        <w:rPr>
          <w:rFonts w:hint="eastAsia" w:ascii="方正小标宋简体-WinCharSetFFFF-H" w:hAnsi="方正小标宋简体-WinCharSetFFFF-H" w:eastAsia="方正小标宋简体-WinCharSetFFFF-H"/>
          <w:sz w:val="44"/>
        </w:rPr>
        <w:t>关于印发《中南大学研究生课程教学</w:t>
      </w:r>
    </w:p>
    <w:p>
      <w:pPr>
        <w:spacing w:beforeLines="0" w:afterLines="0"/>
        <w:jc w:val="center"/>
        <w:rPr>
          <w:rFonts w:hint="eastAsia" w:ascii="方正小标宋简体-WinCharSetFFFF-H" w:hAnsi="方正小标宋简体-WinCharSetFFFF-H" w:eastAsia="方正小标宋简体-WinCharSetFFFF-H"/>
          <w:sz w:val="44"/>
        </w:rPr>
      </w:pPr>
      <w:r>
        <w:rPr>
          <w:rFonts w:hint="eastAsia" w:ascii="方正小标宋简体-WinCharSetFFFF-H" w:hAnsi="方正小标宋简体-WinCharSetFFFF-H" w:eastAsia="方正小标宋简体-WinCharSetFFFF-H"/>
          <w:sz w:val="44"/>
        </w:rPr>
        <w:t>管理办法》的通知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各二级单位：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  <w:lang w:val="en-US" w:eastAsia="zh-CN"/>
        </w:rPr>
        <w:t xml:space="preserve">   </w:t>
      </w:r>
      <w:r>
        <w:rPr>
          <w:rFonts w:hint="eastAsia" w:ascii="仿宋_GB2312-WinCharSetFFFF-H" w:hAnsi="仿宋_GB2312-WinCharSetFFFF-H" w:eastAsia="仿宋_GB2312-WinCharSetFFFF-H"/>
          <w:sz w:val="32"/>
        </w:rPr>
        <w:t>《中南大学研究生课程教学管理办法》已经2016 年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10 月13 日第二十次校务会议讨论通过，现印发给你们，请认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真遵照执行。</w:t>
      </w:r>
    </w:p>
    <w:p>
      <w:pPr>
        <w:spacing w:beforeLines="0" w:afterLines="0"/>
        <w:jc w:val="right"/>
        <w:rPr>
          <w:rFonts w:hint="eastAsia" w:ascii="仿宋_GB2312-WinCharSetFFFF-H" w:hAnsi="仿宋_GB2312-WinCharSetFFFF-H" w:eastAsia="仿宋_GB2312-WinCharSetFFFF-H"/>
          <w:sz w:val="32"/>
        </w:rPr>
      </w:pPr>
    </w:p>
    <w:p>
      <w:pPr>
        <w:spacing w:beforeLines="0" w:afterLines="0"/>
        <w:jc w:val="right"/>
        <w:rPr>
          <w:rFonts w:hint="eastAsia" w:ascii="仿宋_GB2312-WinCharSetFFFF-H" w:hAnsi="仿宋_GB2312-WinCharSetFFFF-H" w:eastAsia="仿宋_GB2312-WinCharSetFFFF-H"/>
          <w:sz w:val="32"/>
        </w:rPr>
      </w:pPr>
    </w:p>
    <w:p>
      <w:pPr>
        <w:spacing w:beforeLines="0" w:afterLines="0"/>
        <w:jc w:val="right"/>
        <w:rPr>
          <w:rFonts w:hint="eastAsia" w:ascii="仿宋_GB2312-WinCharSetFFFF-H" w:hAnsi="仿宋_GB2312-WinCharSetFFFF-H" w:eastAsia="仿宋_GB2312-WinCharSetFFFF-H"/>
          <w:sz w:val="32"/>
        </w:rPr>
      </w:pPr>
    </w:p>
    <w:p>
      <w:pPr>
        <w:spacing w:beforeLines="0" w:afterLines="0"/>
        <w:jc w:val="right"/>
        <w:rPr>
          <w:rFonts w:hint="eastAsia" w:ascii="仿宋_GB2312-WinCharSetFFFF-H" w:hAnsi="仿宋_GB2312-WinCharSetFFFF-H" w:eastAsia="仿宋_GB2312-WinCharSetFFFF-H"/>
          <w:sz w:val="32"/>
        </w:rPr>
      </w:pPr>
    </w:p>
    <w:p>
      <w:pPr>
        <w:spacing w:beforeLines="0" w:afterLines="0"/>
        <w:jc w:val="righ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中南大学</w:t>
      </w:r>
    </w:p>
    <w:p>
      <w:pPr>
        <w:jc w:val="righ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2016 年11 月28 日</w:t>
      </w:r>
    </w:p>
    <w:p>
      <w:pPr>
        <w:jc w:val="right"/>
        <w:rPr>
          <w:rFonts w:hint="eastAsia" w:ascii="仿宋_GB2312-WinCharSetFFFF-H" w:hAnsi="仿宋_GB2312-WinCharSetFFFF-H" w:eastAsia="仿宋_GB2312-WinCharSetFFFF-H"/>
          <w:sz w:val="32"/>
        </w:rPr>
      </w:pPr>
    </w:p>
    <w:p>
      <w:pPr>
        <w:jc w:val="right"/>
        <w:rPr>
          <w:rFonts w:hint="eastAsia" w:ascii="仿宋_GB2312-WinCharSetFFFF-H" w:hAnsi="仿宋_GB2312-WinCharSetFFFF-H" w:eastAsia="仿宋_GB2312-WinCharSetFFFF-H"/>
          <w:sz w:val="32"/>
        </w:rPr>
      </w:pPr>
    </w:p>
    <w:p>
      <w:pPr>
        <w:jc w:val="right"/>
        <w:rPr>
          <w:rFonts w:hint="eastAsia" w:ascii="仿宋_GB2312-WinCharSetFFFF-H" w:hAnsi="仿宋_GB2312-WinCharSetFFFF-H" w:eastAsia="仿宋_GB2312-WinCharSetFFFF-H"/>
          <w:sz w:val="32"/>
        </w:rPr>
      </w:pPr>
    </w:p>
    <w:p>
      <w:pPr>
        <w:jc w:val="right"/>
        <w:rPr>
          <w:rFonts w:hint="eastAsia" w:ascii="仿宋_GB2312-WinCharSetFFFF-H" w:hAnsi="仿宋_GB2312-WinCharSetFFFF-H" w:eastAsia="仿宋_GB2312-WinCharSetFFFF-H"/>
          <w:sz w:val="32"/>
        </w:rPr>
      </w:pPr>
    </w:p>
    <w:p>
      <w:pPr>
        <w:jc w:val="right"/>
        <w:rPr>
          <w:rFonts w:hint="eastAsia" w:ascii="仿宋_GB2312-WinCharSetFFFF-H" w:hAnsi="仿宋_GB2312-WinCharSetFFFF-H" w:eastAsia="仿宋_GB2312-WinCharSetFFFF-H"/>
          <w:sz w:val="32"/>
        </w:rPr>
      </w:pP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</w:p>
    <w:p>
      <w:pPr>
        <w:spacing w:beforeLines="0" w:afterLines="0"/>
        <w:jc w:val="center"/>
        <w:rPr>
          <w:rFonts w:hint="eastAsia" w:ascii="黑体-WinCharSetFFFF-H" w:hAnsi="黑体-WinCharSetFFFF-H" w:eastAsia="黑体-WinCharSetFFFF-H"/>
          <w:sz w:val="32"/>
        </w:rPr>
      </w:pPr>
      <w:r>
        <w:rPr>
          <w:rFonts w:hint="eastAsia" w:ascii="黑体-WinCharSetFFFF-H" w:hAnsi="黑体-WinCharSetFFFF-H" w:eastAsia="黑体-WinCharSetFFFF-H"/>
          <w:sz w:val="32"/>
        </w:rPr>
        <w:t>第一章总则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  <w:lang w:val="en-US" w:eastAsia="zh-CN"/>
        </w:rPr>
        <w:t xml:space="preserve">    </w:t>
      </w:r>
      <w:r>
        <w:rPr>
          <w:rFonts w:hint="eastAsia" w:ascii="仿宋_GB2312-WinCharSetFFFF-H" w:hAnsi="仿宋_GB2312-WinCharSetFFFF-H" w:eastAsia="仿宋_GB2312-WinCharSetFFFF-H"/>
          <w:sz w:val="32"/>
        </w:rPr>
        <w:t>第一条</w:t>
      </w:r>
      <w:r>
        <w:rPr>
          <w:rFonts w:hint="eastAsia" w:ascii="仿宋_GB2312-WinCharSetFFFF-H" w:hAnsi="仿宋_GB2312-WinCharSetFFFF-H" w:eastAsia="仿宋_GB2312-WinCharSetFFFF-H"/>
          <w:sz w:val="32"/>
          <w:lang w:val="en-US" w:eastAsia="zh-CN"/>
        </w:rPr>
        <w:t xml:space="preserve"> </w:t>
      </w:r>
      <w:r>
        <w:rPr>
          <w:rFonts w:hint="eastAsia" w:ascii="仿宋_GB2312-WinCharSetFFFF-H" w:hAnsi="仿宋_GB2312-WinCharSetFFFF-H" w:eastAsia="仿宋_GB2312-WinCharSetFFFF-H"/>
          <w:sz w:val="32"/>
        </w:rPr>
        <w:t>为贯彻落实《国务院学位委员会教育部关于加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强学位与研究生教育质量保证和监督体系建设的意见》(学位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〔2014〕3 号)、《教育部关于改进和加强研究生课程建设的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意见》(教研〔2014〕5 号)、《教育部关于加强专业学位研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究生案例教学和联合培养基地建设的意见》(教研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〔2015〕1 号)，进一步规范我校研究生课程管理和教学运行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管理等工作，更好地发挥课程学习在研究生培养中的重要作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用，提升研究生的创新能力和发展能力，特制定本管理办法。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  <w:lang w:val="en-US" w:eastAsia="zh-CN"/>
        </w:rPr>
        <w:t xml:space="preserve">    </w:t>
      </w:r>
      <w:r>
        <w:rPr>
          <w:rFonts w:hint="eastAsia" w:ascii="仿宋_GB2312-WinCharSetFFFF-H" w:hAnsi="仿宋_GB2312-WinCharSetFFFF-H" w:eastAsia="仿宋_GB2312-WinCharSetFFFF-H"/>
          <w:sz w:val="32"/>
        </w:rPr>
        <w:t>第二条</w:t>
      </w:r>
      <w:r>
        <w:rPr>
          <w:rFonts w:hint="eastAsia" w:ascii="仿宋_GB2312-WinCharSetFFFF-H" w:hAnsi="仿宋_GB2312-WinCharSetFFFF-H" w:eastAsia="仿宋_GB2312-WinCharSetFFFF-H"/>
          <w:sz w:val="32"/>
          <w:lang w:val="en-US" w:eastAsia="zh-CN"/>
        </w:rPr>
        <w:t xml:space="preserve"> </w:t>
      </w:r>
      <w:r>
        <w:rPr>
          <w:rFonts w:hint="eastAsia" w:ascii="仿宋_GB2312-WinCharSetFFFF-H" w:hAnsi="仿宋_GB2312-WinCharSetFFFF-H" w:eastAsia="仿宋_GB2312-WinCharSetFFFF-H"/>
          <w:sz w:val="32"/>
        </w:rPr>
        <w:t>本办法适用于学校各类型研究生课程教学管理工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作。</w:t>
      </w:r>
    </w:p>
    <w:p>
      <w:pPr>
        <w:spacing w:beforeLines="0" w:afterLines="0"/>
        <w:jc w:val="center"/>
        <w:rPr>
          <w:rFonts w:hint="eastAsia" w:ascii="黑体-WinCharSetFFFF-H" w:hAnsi="黑体-WinCharSetFFFF-H" w:eastAsia="黑体-WinCharSetFFFF-H"/>
          <w:sz w:val="32"/>
        </w:rPr>
      </w:pPr>
      <w:r>
        <w:rPr>
          <w:rFonts w:hint="eastAsia" w:ascii="黑体-WinCharSetFFFF-H" w:hAnsi="黑体-WinCharSetFFFF-H" w:eastAsia="黑体-WinCharSetFFFF-H"/>
          <w:sz w:val="32"/>
        </w:rPr>
        <w:t>第二章管理体制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  <w:lang w:val="en-US" w:eastAsia="zh-CN"/>
        </w:rPr>
        <w:t xml:space="preserve">    </w:t>
      </w:r>
      <w:r>
        <w:rPr>
          <w:rFonts w:hint="eastAsia" w:ascii="仿宋_GB2312-WinCharSetFFFF-H" w:hAnsi="仿宋_GB2312-WinCharSetFFFF-H" w:eastAsia="仿宋_GB2312-WinCharSetFFFF-H"/>
          <w:sz w:val="32"/>
        </w:rPr>
        <w:t>第三条研究生课程教学管理实行校、院两级管理体制，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明确各质量主体职责，不断提高人才培养水平。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  <w:lang w:val="en-US" w:eastAsia="zh-CN"/>
        </w:rPr>
        <w:t xml:space="preserve">    </w:t>
      </w:r>
      <w:r>
        <w:rPr>
          <w:rFonts w:hint="eastAsia" w:ascii="仿宋_GB2312-WinCharSetFFFF-H" w:hAnsi="仿宋_GB2312-WinCharSetFFFF-H" w:eastAsia="仿宋_GB2312-WinCharSetFFFF-H"/>
          <w:sz w:val="32"/>
        </w:rPr>
        <w:t>（一）研究生院作为全校研究生课程与教学管理的主管机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构，代表学校行使有关职能，主要职责: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  <w:lang w:val="en-US" w:eastAsia="zh-CN"/>
        </w:rPr>
        <w:t xml:space="preserve">    </w:t>
      </w:r>
      <w:r>
        <w:rPr>
          <w:rFonts w:hint="eastAsia" w:ascii="仿宋_GB2312-WinCharSetFFFF-H" w:hAnsi="仿宋_GB2312-WinCharSetFFFF-H" w:eastAsia="仿宋_GB2312-WinCharSetFFFF-H"/>
          <w:sz w:val="32"/>
        </w:rPr>
        <w:t>1.以研究生成长成才的能力培养为中心，立足学科长远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发展，组织修（制）订各类研究生培养方案；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  <w:lang w:val="en-US" w:eastAsia="zh-CN"/>
        </w:rPr>
        <w:t xml:space="preserve">    </w:t>
      </w:r>
      <w:r>
        <w:rPr>
          <w:rFonts w:hint="eastAsia" w:ascii="仿宋_GB2312-WinCharSetFFFF-H" w:hAnsi="仿宋_GB2312-WinCharSetFFFF-H" w:eastAsia="仿宋_GB2312-WinCharSetFFFF-H"/>
          <w:sz w:val="32"/>
        </w:rPr>
        <w:t>2.负责全校研究生课程与教学的宏观管理并协调二级研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究生培养单位（以下简称二级单位）开课安排，制定有关规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章制度；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3.负责研究生公共课程教学安排与公共学位课程考核组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织；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4.负责研究生课程重修、缓考及校外课程学习申请的审批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与管理；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5.负责研究生成绩单的审核与盖章；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6.组织开展研究生课程建设与教学研究工作；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7.对研究生课堂教学、课程考核与组织、培养环节执行情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况、教学材料归档等教学过程进行监督与管理；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8.组织研究生课程教学质量检查与评估。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（二）研究生工作部负责全校研究生考风考纪建设和考试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违纪研究生的处理。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（三）后勤保障部、信息与网络中心等相关部门做好教学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设施的检查和维护工作，保障研究生课程教学过程和课程考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核工作顺利进行。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（四）二级单位负责课程开设与教学实施具体工作，是研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究生课程教学质量保证的主体，应不断增强质量自律。院长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是第一责任人，对本单位的教学工作负全面责任；主管研究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生工作的负责人（以下简称负责人）主管研究生课程教学工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作。主要职责：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1.贯彻执行学校研究生教学工作的指导思想和统一部署，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科学认识课程学习在研究生培养中的重要地位与功能；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2.修（制）订本单位有关学科研究生培养方案、制定各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培养环节考核标准并保证考核质量、审核课程教学大纲；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3.全面承担课程建设责任，加强对课程建设的长远和系统规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划，把课程建设作为评价学科发展质量和衡量人才培养水平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的重要指标；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4.负责本单位开设课程的教学安排与组织；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5.加强研究生课程教学检查，维护稳定的课堂教学秩序，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保证研究生课程教学质量；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6.负责本单位开设的（除研究生院安排的课程外）所有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课程和培养环节的考核组织、监考人员安排及考前培训、考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试过程的检查与管理；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7.对研究生开展考风、考纪、诚信考试等方面的教育；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8.严格执行学位论文开题、博士生资格考试制度，切实发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挥其在研究生培养过程中的筛选作用;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9.负责本单位开设课程的成绩录入与管理;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10.负责本单位研究生成绩单的审核与盖章;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11.负责课程教学材料归档管理;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12.调动研究生任课教师的教学积极性,支持和奖励教师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进行各种形式的教学改革，将有关教学成果纳入到本单位教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师教学和科研考核体系中。</w:t>
      </w:r>
    </w:p>
    <w:p>
      <w:pPr>
        <w:spacing w:beforeLines="0" w:afterLines="0"/>
        <w:jc w:val="left"/>
        <w:rPr>
          <w:rFonts w:hint="eastAsia" w:ascii="黑体-WinCharSetFFFF-H" w:hAnsi="黑体-WinCharSetFFFF-H" w:eastAsia="黑体-WinCharSetFFFF-H"/>
          <w:sz w:val="32"/>
        </w:rPr>
      </w:pPr>
      <w:r>
        <w:rPr>
          <w:rFonts w:hint="eastAsia" w:ascii="黑体-WinCharSetFFFF-H" w:hAnsi="黑体-WinCharSetFFFF-H" w:eastAsia="黑体-WinCharSetFFFF-H"/>
          <w:sz w:val="32"/>
        </w:rPr>
        <w:t>第三章课程开设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第四条研究生课程设置应按照本学科研究生培养目标和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学位标准要求，注重课程体系设计与整体优化，突出学科水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平与我校特色；着力培养研究生的知识获取能力、批判性思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维能力、独立研究能力和解决实际问题能力。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第五条根据课程性质，研究生课程分为公共学位课、学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科基础课、专业课、选修课、补修课、培养环节等。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第六条学术学位研究生课程以创新能力培养为核心，注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重研究方法类、学术前沿类课程的开设；专业学位研究生课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程应针对其行业领域要求设置，重在研究生职业能力的培养。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第七条鼓励二级单位与企事业单位合作开发开设应用性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课程，加强案例教学，建设教学案例库，促进教学与实践有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机融合；鼓励教师采用课堂教学与在线教学的混合教学模式，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促进教育技术与教学改革的深度融合，积极申报国家和学校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在线课程建设项目，同时鼓励教师利用校级教学平台进行网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络公开课等适合研究生特点的教学活动；鼓励教师开设全英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文课程。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第八条原则上在培养方案修（制）订前不增加新课程。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确需开设新课程，二级单位须在上一学期向研究生院申报。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经审核批准后，二级单位方可在下一学期安排开课。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新增硕士点、博士点(包括自主设置)学科专业的课程设置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应在招收研究生入学前一个学期报研究生院审核。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第九条凡列入培养方案的课程，任课教师或课程负责人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应在中南大学研究生教育管理信息系统（以下简称系统）提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交《中南大学研究生课程教学大纲》，并及时更新有关内容。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未按时提交者，二级单位不得安排上课。为保证研究生课程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教学质量和课程本身的稳定性，每门学位课程原则上应成立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课程教学小组。杜绝因人设课。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第十条课内学时学分的计算办法:讲课、讨论每16 学时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计算为1 学分；实验、实习每32 学时计算为1 学分。总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学时为讲课、讨论学时与实验、实习折半后学时之和。原则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上每门课程课内不超过48 学时，最多不得超过64 学时。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第十一条开课单位应严格按照培养方案课程设置开设要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求，每学期在学校规定的时间内落实相应课程的教学任务。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第十二条根据培养方案课程设置规定的学时数安排课表。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研究生院负责公共课课表安排,二级单位负责专业课课表安排。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课表应在每学期开学前两周上网公布。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每门课程每周不超过8 学时，原则上不得4 学时连排。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临床医学、口腔医学硕士专业学位研究生进入临床训练后，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开课单位不得在周一至周五的工作时间安排上课。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第十三条根据课程性质和研究生特点，课内学时的教学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方式可灵活多样，讲授、研讨、导读、案例教学、课堂汇报、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上机、实验、野外调查、户外拓展等，但任课教师必须在场。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自学、查阅资料、写论文（作业）、调研等不得列入课内学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时。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第十四条原则上博士生课程选课人数不低于3 人（含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3 人），硕士生课程选课人数不低于10 人（含10 人）。低于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规定人数要求的课程当学期停开，与下一年级同时开课（因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专业招生人数少而低于此规定的课程除外）。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第十五条为保证教学效果，同一任课教师在同一学期内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独立承担的研究生课程原则上不超过2 门（承担全校性公共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课的任课教师可适当增加）。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第十六条倡导新、老教师结对制度，充分发挥教学经验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丰富教师的传、帮、带作用。鼓励任课教师进行团队授课，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或合作开发、开设新课程。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第十七条所有纳入培养方案的课程必须按时开出并面向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全校研究生开放。个别课程如因师资力量有限，或课程预备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知识的要求，可限额接受选课人数。</w:t>
      </w:r>
    </w:p>
    <w:p>
      <w:pPr>
        <w:spacing w:beforeLines="0" w:afterLines="0"/>
        <w:jc w:val="left"/>
        <w:rPr>
          <w:rFonts w:hint="eastAsia" w:ascii="黑体-WinCharSetFFFF-H" w:hAnsi="黑体-WinCharSetFFFF-H" w:eastAsia="黑体-WinCharSetFFFF-H"/>
          <w:sz w:val="32"/>
        </w:rPr>
      </w:pPr>
      <w:r>
        <w:rPr>
          <w:rFonts w:hint="eastAsia" w:ascii="黑体-WinCharSetFFFF-H" w:hAnsi="黑体-WinCharSetFFFF-H" w:eastAsia="黑体-WinCharSetFFFF-H"/>
          <w:sz w:val="32"/>
        </w:rPr>
        <w:t>第四章任课教师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第十八条任课教师应具有高级专业技术职称或具有研究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生指导教师资格，并具有丰富的教学、科研工作经验和认真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的教学态度。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第十九条除外语类课程外，原则上讲师职称的教师不得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讲授研究生课程。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第二十条外聘教师的任职资格参照第十八条执行，由所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聘二级单位负责审核，外籍教师需报国际合作与交流处审批。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二级单位将拟外聘人员名单报研究生院备案。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第二十一条任课教师必须遵照并执行《中南大学教师课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堂教学行为规范》。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第二十二条任课教师应按照教学管理部门有关要求，认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真做好课堂考勤、阶段考核、考试安排与组织、成绩录入、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教学评估以及课程考核原始资料交存等管理工作。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第二十三条初次讲授研究生课程的教师，须对具有关键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性、代表性的教学内容进行不少于2 学时的试讲。二级单位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组织3-5 位相关专家进行试讲评审，并对该课程的目标定位、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适用对象、课程内容、教学设计、考核方式、预期教学效果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等方面进行全面审查，通过试讲和审核后方可正式授课。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第二十四条对于累计2 次教学评估不合格的教师，学校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停止其承担该教学任务资格一年，一年后试讲通过后方能重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新上课。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第二十五条选用优秀的国内外教材。对于专业学位研究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生课程，有专业学位全国教育指导委员会推荐教材的原则上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采用推荐教材进行授课。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第二十六条编写适用于研究生教学的高质量的课程讲义、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案例、专著或教材；积极参加学校、教育主管部门研究生教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育用书遴选的申报。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第二十七条严格按照课表上的时间、地点上课，不可擅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自变动。因特殊情况（如生病、出国参加重要国际会议、参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加上级主管部门召开的会议等），任课教师需提前3 天填报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《中南大学研究生课程调课申请表》并附相关证明材料，经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研究生院审批后方可调课。任课教师需将调课变化情况及时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通知到上课研究生。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未经书面申请或未经批准，任课教师不得随意调、停课或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由他人代课。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第二十八条因任课教师责任造成教学秩序混乱、教学质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量低下等情况，研究生院按照《中南大学研究生教学事故认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定与处理办法》进行处理。</w:t>
      </w:r>
    </w:p>
    <w:p>
      <w:pPr>
        <w:spacing w:beforeLines="0" w:afterLines="0"/>
        <w:jc w:val="left"/>
        <w:rPr>
          <w:rFonts w:hint="eastAsia" w:ascii="黑体-WinCharSetFFFF-H" w:hAnsi="黑体-WinCharSetFFFF-H" w:eastAsia="黑体-WinCharSetFFFF-H"/>
          <w:sz w:val="32"/>
        </w:rPr>
      </w:pPr>
      <w:r>
        <w:rPr>
          <w:rFonts w:hint="eastAsia" w:ascii="黑体-WinCharSetFFFF-H" w:hAnsi="黑体-WinCharSetFFFF-H" w:eastAsia="黑体-WinCharSetFFFF-H"/>
          <w:sz w:val="32"/>
        </w:rPr>
        <w:t>第五章课程学习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第二十九条新生根据所在学科培养方案要求，在导师或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导师组指导下制定个人培养计划（含课程学习、培养环节、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补修课），并在开学后2 周内录入系统中。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第三十条个人培养计划制定后原则上不能修改，研究生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从系统中导出并打印个人培养计划表，签名后交研究生助理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备案。因转专业、课程停开或其他特殊原因需调整课程，研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究生须填写《中南大学研究生个人培养计划调整表》，交研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究生助理备案。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第三十一条以同等学力或跨一级学科考取的博（硕）士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研究生，在制定个人培养计划的同时需制定《中南大学研究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生补修课程计划表》。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第三十二条研究生应严格按照已制定的个人培养计划表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在系统中进行学期选课，要注意核对课程编号与选课班级。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未在系统中选课的研究生不得参加考试。未完成个人培养计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划者不得申请学位论文答辩。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第三十三条因特殊情况未选课，研究生填写《中南大学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研究生加（减）课程申请单》。研究生助理酌情处理。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第三十四条研究生助理从系统中打印《中南大学研究生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学期选课确认表》，研究生本人核实、签名后交研究生助理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备案。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第三十五条研究生须全程参与课程教学过程，未请假以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旷课论处。缺课（含请假）超过课内学时1/3 者，取消参加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该课程考核资格。旷课情节严重者，按照《中南大学研究生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学籍管理规定》予以处理。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第三十六条研究生确需到校外单位（必须为国内、国外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高水平的高校或科研机构）学习课程，提交《中南大学选修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外校研究生课程申请表》，经研究生院审批同意方可开展相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关学习。课程修读结束后，研究生提供学习成绩证明原件以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及《中南大学研究生校（国）外成绩转换申请表》。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未申请或未经批准自行在校外单位选修的课程成绩不予认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可。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第三十七条研究生取得国内外高校研究生慕课（MOOC，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massive open online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courses）、研究生创新计划项目暑期学校等成绩合格证的，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学校认可成绩和学分。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第三十八条学位课程考核不及格必须重修；选修课程考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核不及格原则上应当重修，特殊情况经导师同意，可改修其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他课程。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第三十九条研究生因病（持二级甲等以上医院的证明）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或不可抗力等特殊原因不能按时参加有关课程（含培养环节）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考核时，须在课程考试前提交《中南大学研究生缓考申请表》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，按照表中程序办理缓考手续。缓考需随下一年级研究生同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堂同卷考试，不单独组织。不得以出差、做课题等理由申请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缓考。</w:t>
      </w:r>
    </w:p>
    <w:p>
      <w:pPr>
        <w:spacing w:beforeLines="0" w:afterLines="0"/>
        <w:jc w:val="left"/>
        <w:rPr>
          <w:rFonts w:hint="eastAsia" w:ascii="黑体-WinCharSetFFFF-H" w:hAnsi="黑体-WinCharSetFFFF-H" w:eastAsia="黑体-WinCharSetFFFF-H"/>
          <w:sz w:val="32"/>
        </w:rPr>
      </w:pPr>
      <w:r>
        <w:rPr>
          <w:rFonts w:hint="eastAsia" w:ascii="黑体-WinCharSetFFFF-H" w:hAnsi="黑体-WinCharSetFFFF-H" w:eastAsia="黑体-WinCharSetFFFF-H"/>
          <w:sz w:val="32"/>
        </w:rPr>
        <w:t>第六章考试组织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第四十条所有课程（含培养环节）均需通过考核才能取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得相应的成绩。考核分为考试和考查两种，原则上要求采用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考试的方式。考试可以实行笔试（开卷、闭卷）、口试或口、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笔试结合等多种方式。社会调查、教学实践、专题讨论、文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献综述等教学环节以及部分实验课、选修课、补修课等可采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用考查的方式。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第四十一条公共学位课程考核由研究生院负责组织与安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排，相关公共课开课单位及研究生选课人数较多的二级单位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协助做好有关考务工作。其他课程（含培养环节）考核由开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课二级单位负责组织与安排。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第四十二条二级单位须在课程结束前两周内在网上公布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考试安排。考试安排一经公布，不得随意变更。确需调整的，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要及时做好通知工作。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第四十三条考试按标准化考场安排座位。每个考场要有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两名监考人员，60 人以上的考场需增加一名监考人员，且监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考人员须为本校正式职工。有任课教师作为监考人员时由任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课教师担任主监考。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第四十四条监考人员应严格按照《中南大学研究生课程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考试监考须知》履行有关职责，防止和制止考试违纪现象的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发生。一旦发现研究生考试违纪，监考人员需取证并填写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《中南大学研究生考试违纪情况记录表》，及时报告考场违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纪处理负责人或有关单位负责人，按照《中南大学学生违纪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处分条例》进行处理。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第四十五条主管校领导、学位与研究生教育督导员、研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究生院及研究生工作部应对全校考场情况进行巡视。二级单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位负责本单位考场情况的巡视，发现异常情况按有关规定及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时处理并报告研究生院。</w:t>
      </w:r>
    </w:p>
    <w:p>
      <w:pPr>
        <w:spacing w:beforeLines="0" w:afterLines="0"/>
        <w:jc w:val="left"/>
        <w:rPr>
          <w:rFonts w:hint="eastAsia" w:ascii="黑体-WinCharSetFFFF-H" w:hAnsi="黑体-WinCharSetFFFF-H" w:eastAsia="黑体-WinCharSetFFFF-H"/>
          <w:sz w:val="32"/>
        </w:rPr>
      </w:pPr>
      <w:r>
        <w:rPr>
          <w:rFonts w:hint="eastAsia" w:ascii="黑体-WinCharSetFFFF-H" w:hAnsi="黑体-WinCharSetFFFF-H" w:eastAsia="黑体-WinCharSetFFFF-H"/>
          <w:sz w:val="32"/>
        </w:rPr>
        <w:t>第七章命题与保密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第四十六条开课单位负责命题。试卷采用研究生院制定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的统一版式。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第四十七条二级单位应建立试题库，逐步实行“考教分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离”考试。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第四十八条命题教师应树立科学的研究生教育质量观，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突出研究生能力考核和长远发展，并严格按照教学大纲的要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求进行命题。试题要有一定的深度和广度、难易适度、份量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得当、分值分布合理、不得与近五年的试卷相同。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第四十九条实行全校统一考试的公共学位课程，开课单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位需准备难度相当、覆盖面相同的两套试卷（在命题的同时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做好评分细则和标准答案），由研究生院确定其中一套作为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考试用，另一套作为备用卷。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第五十条命题人员不得以电子邮件发送试题。试题接收、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印刷、保管、开考前发放等，开课单位应指定专人负责。所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有有关人员必须严格遵守保密规定，杜绝任何形式的泄密。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如发现试题泄密，按照《中南大学研究生教学事故认定与处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理办法》进行处理。负责人与研究生院签订试卷保密协议。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第五十一条以大型作业、小论文、读书报告、调查报告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等考核形式的课程，应有明确的题目且任课教师需强调有关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考核要求，严禁研究生照搬照抄、答卷雷同等。</w:t>
      </w:r>
    </w:p>
    <w:p>
      <w:pPr>
        <w:spacing w:beforeLines="0" w:afterLines="0"/>
        <w:jc w:val="left"/>
        <w:rPr>
          <w:rFonts w:hint="eastAsia" w:ascii="黑体-WinCharSetFFFF-H" w:hAnsi="黑体-WinCharSetFFFF-H" w:eastAsia="黑体-WinCharSetFFFF-H"/>
          <w:sz w:val="32"/>
        </w:rPr>
      </w:pPr>
      <w:r>
        <w:rPr>
          <w:rFonts w:hint="eastAsia" w:ascii="黑体-WinCharSetFFFF-H" w:hAnsi="黑体-WinCharSetFFFF-H" w:eastAsia="黑体-WinCharSetFFFF-H"/>
          <w:sz w:val="32"/>
        </w:rPr>
        <w:t>第八章试卷评阅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第五十二条考试结束后2 周内，任课教师应完成试卷评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阅，并填写《中南大学研究生课程教学总结表》。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第五十三条统考课程要求统一密封考卷，尽量采用集中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分题评阅方式进行阅卷，由开课单位负责组织。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第五十四条评阅试卷时，阅卷教师应严格按试题评分标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准进行评分，不漏评、漏记、错评、错记和送分、加分。阅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卷一律使用红墨水笔或红色签字笔，记分数字必须清楚、工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整，客观题答题正确的打√，错误的打×，主观题根据评分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细则作出明确标记。阅卷教师在相应位置签名。分数如有变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更，阅卷教师要在改动位置签名。严禁涂抹、损坏试卷。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第五十五条评阅以大型作业、小论文、读书报告、调查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报告等作为课程考核方式的试卷材料时，阅卷教师应结合答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卷的观点、内容、结构、语言等方面作出综合评价。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第五十六条进行口试考试时，要有师生口试记录和教师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评语。</w:t>
      </w:r>
    </w:p>
    <w:p>
      <w:pPr>
        <w:spacing w:beforeLines="0" w:afterLines="0"/>
        <w:jc w:val="left"/>
        <w:rPr>
          <w:rFonts w:hint="eastAsia" w:ascii="黑体-WinCharSetFFFF-H" w:hAnsi="黑体-WinCharSetFFFF-H" w:eastAsia="黑体-WinCharSetFFFF-H"/>
          <w:sz w:val="32"/>
        </w:rPr>
      </w:pPr>
      <w:r>
        <w:rPr>
          <w:rFonts w:hint="eastAsia" w:ascii="黑体-WinCharSetFFFF-H" w:hAnsi="黑体-WinCharSetFFFF-H" w:eastAsia="黑体-WinCharSetFFFF-H"/>
          <w:sz w:val="32"/>
        </w:rPr>
        <w:t>第九章成绩管理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第五十七条实行考试方式的课程考核成绩以百分制记载。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实行考查方式的课程（含培养环节）考核成绩以百分制或等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  <w:vertAlign w:val="baseline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级制记载。具体对应关系列表如下：</w:t>
      </w:r>
    </w:p>
    <w:tbl>
      <w:tblPr>
        <w:tblStyle w:val="6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eastAsia="zh-CN"/>
              </w:rPr>
              <w:t>百分制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  <w:r>
              <w:rPr>
                <w:rFonts w:hint="eastAsia" w:ascii="TimesNewRoman" w:hAnsi="TimesNewRoman" w:eastAsia="TimesNewRoman"/>
                <w:sz w:val="28"/>
                <w:szCs w:val="28"/>
              </w:rPr>
              <w:t>100</w:t>
            </w:r>
            <w:r>
              <w:rPr>
                <w:rFonts w:hint="eastAsia" w:ascii="仿宋-WinCharSetFFFF-H" w:hAnsi="仿宋-WinCharSetFFFF-H" w:eastAsia="仿宋-WinCharSetFFFF-H"/>
                <w:sz w:val="28"/>
                <w:szCs w:val="28"/>
              </w:rPr>
              <w:t>—</w:t>
            </w:r>
            <w:r>
              <w:rPr>
                <w:rFonts w:hint="eastAsia" w:ascii="TimesNewRoman" w:hAnsi="TimesNewRoman" w:eastAsia="TimesNewRoman"/>
                <w:sz w:val="28"/>
                <w:szCs w:val="28"/>
              </w:rPr>
              <w:t>90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  <w:r>
              <w:rPr>
                <w:rFonts w:hint="eastAsia" w:ascii="TimesNewRoman" w:hAnsi="TimesNewRoman" w:eastAsia="TimesNewRoman"/>
                <w:sz w:val="30"/>
              </w:rPr>
              <w:t>89</w:t>
            </w:r>
            <w:r>
              <w:rPr>
                <w:rFonts w:hint="eastAsia" w:ascii="仿宋-WinCharSetFFFF-H" w:hAnsi="仿宋-WinCharSetFFFF-H" w:eastAsia="仿宋-WinCharSetFFFF-H"/>
                <w:sz w:val="30"/>
              </w:rPr>
              <w:t>—</w:t>
            </w:r>
            <w:r>
              <w:rPr>
                <w:rFonts w:hint="eastAsia" w:ascii="TimesNewRoman" w:hAnsi="TimesNewRoman" w:eastAsia="TimesNewRoman"/>
                <w:sz w:val="30"/>
              </w:rPr>
              <w:t>85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  <w:r>
              <w:rPr>
                <w:rFonts w:hint="eastAsia" w:ascii="TimesNewRoman" w:hAnsi="TimesNewRoman" w:eastAsia="TimesNewRoman"/>
                <w:sz w:val="30"/>
              </w:rPr>
              <w:t>84</w:t>
            </w:r>
            <w:r>
              <w:rPr>
                <w:rFonts w:hint="eastAsia" w:ascii="仿宋-WinCharSetFFFF-H" w:hAnsi="仿宋-WinCharSetFFFF-H" w:eastAsia="仿宋-WinCharSetFFFF-H"/>
                <w:sz w:val="30"/>
              </w:rPr>
              <w:t>—</w:t>
            </w:r>
            <w:r>
              <w:rPr>
                <w:rFonts w:hint="eastAsia" w:ascii="TimesNewRoman" w:hAnsi="TimesNewRoman" w:eastAsia="TimesNewRoman"/>
                <w:sz w:val="30"/>
              </w:rPr>
              <w:t>82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  <w:r>
              <w:rPr>
                <w:rFonts w:hint="eastAsia" w:ascii="TimesNewRoman" w:hAnsi="TimesNewRoman" w:eastAsia="TimesNewRoman"/>
                <w:sz w:val="30"/>
              </w:rPr>
              <w:t>81</w:t>
            </w:r>
            <w:r>
              <w:rPr>
                <w:rFonts w:hint="eastAsia" w:ascii="仿宋-WinCharSetFFFF-H" w:hAnsi="仿宋-WinCharSetFFFF-H" w:eastAsia="仿宋-WinCharSetFFFF-H"/>
                <w:sz w:val="30"/>
              </w:rPr>
              <w:t>—</w:t>
            </w:r>
            <w:r>
              <w:rPr>
                <w:rFonts w:hint="eastAsia" w:ascii="TimesNewRoman" w:hAnsi="TimesNewRoman" w:eastAsia="TimesNewRoman"/>
                <w:sz w:val="30"/>
              </w:rPr>
              <w:t>78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  <w:r>
              <w:rPr>
                <w:rFonts w:hint="eastAsia" w:ascii="TimesNewRoman" w:hAnsi="TimesNewRoman" w:eastAsia="TimesNewRoman"/>
                <w:sz w:val="30"/>
              </w:rPr>
              <w:t>77</w:t>
            </w:r>
            <w:r>
              <w:rPr>
                <w:rFonts w:hint="eastAsia" w:ascii="仿宋-WinCharSetFFFF-H" w:hAnsi="仿宋-WinCharSetFFFF-H" w:eastAsia="仿宋-WinCharSetFFFF-H"/>
                <w:sz w:val="30"/>
              </w:rPr>
              <w:t>—</w:t>
            </w:r>
            <w:r>
              <w:rPr>
                <w:rFonts w:hint="eastAsia" w:ascii="TimesNewRoman" w:hAnsi="TimesNewRoman" w:eastAsia="TimesNewRoman"/>
                <w:sz w:val="30"/>
              </w:rPr>
              <w:t>75</w:t>
            </w:r>
          </w:p>
        </w:tc>
        <w:tc>
          <w:tcPr>
            <w:tcW w:w="1266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  <w:r>
              <w:rPr>
                <w:rFonts w:hint="eastAsia" w:ascii="TimesNewRoman" w:hAnsi="TimesNewRoman" w:eastAsia="TimesNewRoman"/>
                <w:sz w:val="30"/>
              </w:rPr>
              <w:t>74</w:t>
            </w:r>
            <w:r>
              <w:rPr>
                <w:rFonts w:hint="eastAsia" w:ascii="仿宋-WinCharSetFFFF-H" w:hAnsi="仿宋-WinCharSetFFFF-H" w:eastAsia="仿宋-WinCharSetFFFF-H"/>
                <w:sz w:val="30"/>
              </w:rPr>
              <w:t>—</w:t>
            </w:r>
            <w:r>
              <w:rPr>
                <w:rFonts w:hint="eastAsia" w:ascii="TimesNewRoman" w:hAnsi="TimesNewRoman" w:eastAsia="TimesNewRoman"/>
                <w:sz w:val="30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eastAsia="zh-CN"/>
              </w:rPr>
              <w:t>等级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A+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A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A-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B+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B</w:t>
            </w:r>
          </w:p>
        </w:tc>
        <w:tc>
          <w:tcPr>
            <w:tcW w:w="1266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B-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eastAsia="zh-CN"/>
              </w:rPr>
              <w:t>绩点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3.7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3.3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3.0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2.7</w:t>
            </w:r>
          </w:p>
        </w:tc>
        <w:tc>
          <w:tcPr>
            <w:tcW w:w="1266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2.3</w:t>
            </w:r>
          </w:p>
        </w:tc>
      </w:tr>
    </w:tbl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</w:p>
    <w:tbl>
      <w:tblPr>
        <w:tblStyle w:val="6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eastAsia="zh-CN"/>
              </w:rPr>
              <w:t>百分制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TimesNewRoman"/>
                <w:sz w:val="30"/>
              </w:rPr>
              <w:t>71</w:t>
            </w:r>
            <w:r>
              <w:rPr>
                <w:rFonts w:hint="eastAsia" w:ascii="仿宋-WinCharSetFFFF-H" w:hAnsi="仿宋-WinCharSetFFFF-H" w:eastAsia="仿宋-WinCharSetFFFF-H"/>
                <w:sz w:val="30"/>
              </w:rPr>
              <w:t>—</w:t>
            </w:r>
            <w:r>
              <w:rPr>
                <w:rFonts w:hint="eastAsia" w:ascii="TimesNewRoman" w:hAnsi="TimesNewRoman" w:eastAsia="TimesNewRoman"/>
                <w:sz w:val="30"/>
              </w:rPr>
              <w:t>68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  <w:r>
              <w:rPr>
                <w:rFonts w:hint="eastAsia" w:ascii="TimesNewRoman" w:hAnsi="TimesNewRoman" w:eastAsia="TimesNewRoman"/>
                <w:sz w:val="30"/>
              </w:rPr>
              <w:t>67</w:t>
            </w:r>
            <w:r>
              <w:rPr>
                <w:rFonts w:hint="eastAsia" w:ascii="仿宋-WinCharSetFFFF-H" w:hAnsi="仿宋-WinCharSetFFFF-H" w:eastAsia="仿宋-WinCharSetFFFF-H"/>
                <w:sz w:val="30"/>
              </w:rPr>
              <w:t>—</w:t>
            </w:r>
            <w:r>
              <w:rPr>
                <w:rFonts w:hint="eastAsia" w:ascii="TimesNewRoman" w:hAnsi="TimesNewRoman" w:eastAsia="TimesNewRoman"/>
                <w:sz w:val="30"/>
              </w:rPr>
              <w:t>63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  <w:r>
              <w:rPr>
                <w:rFonts w:hint="eastAsia" w:ascii="TimesNewRoman" w:hAnsi="TimesNewRoman" w:eastAsia="TimesNewRoman"/>
                <w:sz w:val="30"/>
              </w:rPr>
              <w:t>6</w:t>
            </w:r>
            <w:r>
              <w:rPr>
                <w:rFonts w:hint="eastAsia" w:ascii="TimesNewRoman" w:hAnsi="TimesNewRoman" w:eastAsia="TimesNewRoman"/>
                <w:sz w:val="30"/>
                <w:lang w:val="en-US" w:eastAsia="zh-CN"/>
              </w:rPr>
              <w:t>2</w:t>
            </w:r>
            <w:r>
              <w:rPr>
                <w:rFonts w:hint="eastAsia" w:ascii="TimesNewRoman" w:hAnsi="TimesNewRoman" w:eastAsia="TimesNewRoman"/>
                <w:sz w:val="30"/>
              </w:rPr>
              <w:t>—60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  <w:r>
              <w:rPr>
                <w:rFonts w:hint="eastAsia" w:ascii="TimesNewRoman" w:hAnsi="TimesNewRoman" w:eastAsia="TimesNewRoman"/>
                <w:sz w:val="30"/>
              </w:rPr>
              <w:t>59</w:t>
            </w:r>
            <w:r>
              <w:rPr>
                <w:rFonts w:hint="eastAsia" w:ascii="仿宋-WinCharSetFFFF-H" w:hAnsi="仿宋-WinCharSetFFFF-H" w:eastAsia="仿宋-WinCharSetFFFF-H"/>
                <w:sz w:val="30"/>
              </w:rPr>
              <w:t>—</w:t>
            </w:r>
            <w:r>
              <w:rPr>
                <w:rFonts w:hint="eastAsia" w:ascii="TimesNewRoman" w:hAnsi="TimesNewRoman" w:eastAsia="TimesNewRoman"/>
                <w:sz w:val="30"/>
              </w:rPr>
              <w:t>0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</w:p>
        </w:tc>
        <w:tc>
          <w:tcPr>
            <w:tcW w:w="1266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eastAsia="zh-CN"/>
              </w:rPr>
              <w:t>等级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C+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C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C-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D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</w:p>
        </w:tc>
        <w:tc>
          <w:tcPr>
            <w:tcW w:w="1266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eastAsia="zh-CN"/>
              </w:rPr>
              <w:t>绩点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2.0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1.5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</w:p>
        </w:tc>
        <w:tc>
          <w:tcPr>
            <w:tcW w:w="1266" w:type="dxa"/>
          </w:tcPr>
          <w:p>
            <w:pPr>
              <w:widowControl w:val="0"/>
              <w:jc w:val="both"/>
              <w:rPr>
                <w:rFonts w:hint="eastAsia" w:ascii="仿宋_GB2312-WinCharSetFFFF-H" w:hAnsi="仿宋_GB2312-WinCharSetFFFF-H" w:eastAsia="仿宋_GB2312-WinCharSetFFFF-H"/>
                <w:sz w:val="32"/>
                <w:vertAlign w:val="baseline"/>
              </w:rPr>
            </w:pPr>
          </w:p>
        </w:tc>
      </w:tr>
    </w:tbl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第五十八条课程考核成绩可以平时成绩和考试成绩构成，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也可以卷面成绩为准。任课教师或课程负责人根据课程的类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型、性质、内容及特点自主确定平时成绩（阶段考试、随堂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测验、作业、读书报告、课堂讨论、出勤等）占总成绩的比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例（原则上不超过50%），在第一次上课时向研究生公布。相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同教学要求、教学进度的同一课程所有班级必须统一考核要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求。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第五十九条重修研究生的考核成绩以卷面成绩为准，缓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考研究生的考核成绩按参加考试当年该课程考核要求记载。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第六十条考试结束后2 周内应及时在系统上录入成绩。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同一课程由多名教师授课的，任课教师按所担任的班级录入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成绩；同一班级的同一课程由多名教师授课的，由排名第一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的任课教师录入成绩。录入完毕提交前，须仔细核对应参考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研究生名单及分数，切忌漏录或录入错误，核对无误后再点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击“最后确认”，一旦完成确认将无法修改成绩。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第六十一条特殊原因不能及时录入成绩的课程，任课教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师应事先填写《中南大学研究生成绩单逾期递交申请表》，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负责人签署意见后交研究生助理备案。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第六十二条成绩单、试题、研究生答卷、过程考核的相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关辅证材料等应在考试结束后15 个工作日内一并送交给研究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生助理。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第六十三条无特殊情况逾期未在网上录入成绩和未按照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第六十二条规定要求送交材料，按照《中南大学研究生教学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事故认定与处理办法》处理，追究当事人责任。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第六十四条培养环节的考核成绩以及外聘教师授课的课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程考核成绩由研究生助理及时录入。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第六十五条以同等学力或跨一级学科考取的博（硕）士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研究生补修课成绩单独记载在《中南大学研究生补修课成绩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单》，不计入培养方案规定的总学分。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第六十六条研究生对考试成绩有疑义，应在成绩上网公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布后一个月内（节假日顺延，逾期不受理）向开课单位研究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生助理提交书面查分复核申请，10 个工作日内上网查看结果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或咨询研究生助理。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第六十七条经核实确需补录、更改研究生成绩，任课教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师填写《中南大学研究生成绩补录、修改申请表》，并在试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卷和原始成绩单上进行更正后签名，经负责人签字同意后并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在改动部分加盖开课单位行政公章，提交研究生院审核确定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是否予以网上补录或更改成绩。</w:t>
      </w:r>
    </w:p>
    <w:p>
      <w:pPr>
        <w:spacing w:beforeLines="0" w:afterLines="0"/>
        <w:jc w:val="left"/>
        <w:rPr>
          <w:rFonts w:hint="eastAsia" w:ascii="黑体-WinCharSetFFFF-H" w:hAnsi="黑体-WinCharSetFFFF-H" w:eastAsia="黑体-WinCharSetFFFF-H"/>
          <w:sz w:val="32"/>
        </w:rPr>
      </w:pPr>
      <w:r>
        <w:rPr>
          <w:rFonts w:hint="eastAsia" w:ascii="黑体-WinCharSetFFFF-H" w:hAnsi="黑体-WinCharSetFFFF-H" w:eastAsia="黑体-WinCharSetFFFF-H"/>
          <w:sz w:val="32"/>
        </w:rPr>
        <w:t>第十章教学档案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第六十八条教学档案包括培养方案、教学大纲、试题或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课程论文题目、试题评分标准和参考答案、研究生答卷（笔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试试卷、口试记录、课程论文、读书报告、研究报告等纸质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版）、平时成绩原始记录、成绩单、课程教学总结表、成绩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分析表、考试签名单等。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第六十九条各类教学材料的存档应签字盖章齐全、材料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完整、页面整洁、严禁涂改。原则上要求所有考核材料必须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有纸质版，无纸质版的须将电子版数据刻录成光盘。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第七十条成绩单须永久保存，研究生院、开课二级单位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各存1 份。其它材料由开课单位负责保存，保存期限为7 年。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第七十一条每年的4 月30 日、10 月30 日以前，二级单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位应将上一学期的成绩单按照博士研究生、学术学位硕士研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究生、专业学位硕士研究生类别以课程编号为序分别汇总，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交研究生院备案。</w:t>
      </w:r>
    </w:p>
    <w:p>
      <w:pPr>
        <w:spacing w:beforeLines="0" w:afterLines="0"/>
        <w:jc w:val="left"/>
        <w:rPr>
          <w:rFonts w:hint="eastAsia" w:ascii="黑体-WinCharSetFFFF-H" w:hAnsi="黑体-WinCharSetFFFF-H" w:eastAsia="黑体-WinCharSetFFFF-H"/>
          <w:sz w:val="32"/>
        </w:rPr>
      </w:pPr>
      <w:r>
        <w:rPr>
          <w:rFonts w:hint="eastAsia" w:ascii="黑体-WinCharSetFFFF-H" w:hAnsi="黑体-WinCharSetFFFF-H" w:eastAsia="黑体-WinCharSetFFFF-H"/>
          <w:sz w:val="32"/>
        </w:rPr>
        <w:t>第十一章教学检查与评价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第七十二条研究生院应定期对研究生课程教学管理情况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进行检查与评估，包括对课程教学秩序、课程授课质量、教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学管理规范、课程考核与考试组织、档案材料管理等方面。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在检查过程中发现异常情况按照《中南大学研究生教学事故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认定与处理办法》进行处理。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第七十三条二级单位应定期对本单位的教学管理情况进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行检查，发现情况应及时处理，重要情况向研究生院汇报。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第七十四条建立以研究生网上评教、学位与研究生教育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督导员评教为主，任课教师自评、同行评价及管理人员评价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为辅的教学检查、评价与反馈机制。学位与研究生教育督导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员可采用随堂听课、座谈会、问卷调查等多种方式进行研究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生课程教学情况检查，了解研究生对课程教学的反馈意见，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并及时将结果反馈任课教师或二级单位、研究生院，以改进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和提高教学质量。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第七十五条研究生院将定期对纳入培养方案的所有课程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进行评估。评估合格的课程可继续开设；连续2 年未开课、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课程定位不准、课程内容重复度较大、选课人数与实际招生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人数严重不符、教学评估不合格等的课程应在修订培养方案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时予以取消。评估结果可作为学校对二级单位绩效考核的重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要依据之一。</w:t>
      </w:r>
    </w:p>
    <w:p>
      <w:pPr>
        <w:spacing w:beforeLines="0" w:afterLines="0"/>
        <w:jc w:val="left"/>
        <w:rPr>
          <w:rFonts w:hint="eastAsia" w:ascii="黑体-WinCharSetFFFF-H" w:hAnsi="黑体-WinCharSetFFFF-H" w:eastAsia="黑体-WinCharSetFFFF-H"/>
          <w:sz w:val="32"/>
        </w:rPr>
      </w:pPr>
      <w:r>
        <w:rPr>
          <w:rFonts w:hint="eastAsia" w:ascii="黑体-WinCharSetFFFF-H" w:hAnsi="黑体-WinCharSetFFFF-H" w:eastAsia="黑体-WinCharSetFFFF-H"/>
          <w:sz w:val="32"/>
        </w:rPr>
        <w:t>第十二章附则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第七十六条本文所列出的全部表格可在研究生院网页上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下载。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第七十七条本办法自颁布之日起十五日后施行，由研究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生院负责解释。《中南大学课程管理规定》（中大研字</w:t>
      </w: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〔2006〕36 号）、《中南大学研究生课程考核管理办法》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  <w:r>
        <w:rPr>
          <w:rFonts w:hint="eastAsia" w:ascii="仿宋_GB2312-WinCharSetFFFF-H" w:hAnsi="仿宋_GB2312-WinCharSetFFFF-H" w:eastAsia="仿宋_GB2312-WinCharSetFFFF-H"/>
          <w:sz w:val="32"/>
        </w:rPr>
        <w:t>（中大研字〔2013〕2 号）同时废止。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</w:p>
    <w:p>
      <w:pPr>
        <w:spacing w:beforeLines="0" w:afterLines="0"/>
        <w:jc w:val="left"/>
        <w:rPr>
          <w:rFonts w:hint="eastAsia" w:ascii="仿宋_GB2312-WinCharSetFFFF-H" w:hAnsi="仿宋_GB2312-WinCharSetFFFF-H" w:eastAsia="仿宋_GB2312-WinCharSetFFFF-H"/>
          <w:sz w:val="28"/>
          <w:u w:val="single"/>
        </w:rPr>
      </w:pPr>
      <w:r>
        <w:rPr>
          <w:rFonts w:hint="eastAsia" w:ascii="仿宋_GB2312-WinCharSetFFFF-H" w:hAnsi="仿宋_GB2312-WinCharSetFFFF-H" w:eastAsia="仿宋_GB2312-WinCharSetFFFF-H"/>
          <w:sz w:val="28"/>
          <w:u w:val="single"/>
        </w:rPr>
        <w:t>抄送：各二级党组织、党群部门。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  <w:u w:val="single"/>
        </w:rPr>
      </w:pPr>
      <w:r>
        <w:rPr>
          <w:rFonts w:hint="eastAsia" w:ascii="仿宋_GB2312-WinCharSetFFFF-H" w:hAnsi="仿宋_GB2312-WinCharSetFFFF-H" w:eastAsia="仿宋_GB2312-WinCharSetFFFF-H"/>
          <w:sz w:val="28"/>
          <w:u w:val="single"/>
        </w:rPr>
        <w:t>中南大学办公室主动公开2016 年11 月28 日印发</w:t>
      </w:r>
    </w:p>
    <w:p>
      <w:pPr>
        <w:jc w:val="both"/>
        <w:rPr>
          <w:rFonts w:hint="eastAsia" w:ascii="仿宋_GB2312-WinCharSetFFFF-H" w:hAnsi="仿宋_GB2312-WinCharSetFFFF-H" w:eastAsia="仿宋_GB2312-WinCharSetFFFF-H"/>
          <w:sz w:val="32"/>
        </w:rPr>
      </w:pP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lnNumType w:countBy="0" w:distance="36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8B10D1"/>
    <w:rsid w:val="10412D98"/>
    <w:rsid w:val="282934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2017-02-23T09:21:00Z</dcterms:created>
  <dc:creator>Administrator</dc:creator>
  <cp:lastModifiedBy>dell</cp:lastModifiedBy>
  <dcterms:modified xsi:type="dcterms:W3CDTF">2017-02-24T00:24:33Z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